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8920" w:type="dxa"/>
        <w:tblInd w:w="0" w:type="dxa"/>
        <w:tblLayout w:type="fixed"/>
        <w:tblCellMar>
          <w:top w:w="0" w:type="dxa"/>
          <w:left w:w="28" w:type="dxa"/>
          <w:bottom w:w="0" w:type="dxa"/>
          <w:right w:w="28" w:type="dxa"/>
        </w:tblCellMar>
      </w:tblPr>
      <w:tblGrid>
        <w:gridCol w:w="7079"/>
        <w:gridCol w:w="1841"/>
      </w:tblGrid>
      <w:tr>
        <w:tblPrEx>
          <w:tblCellMar>
            <w:top w:w="0" w:type="dxa"/>
            <w:left w:w="28" w:type="dxa"/>
            <w:bottom w:w="0" w:type="dxa"/>
            <w:right w:w="28" w:type="dxa"/>
          </w:tblCellMar>
        </w:tblPrEx>
        <w:trPr>
          <w:trHeight w:val="483" w:hRule="exact"/>
        </w:trPr>
        <w:tc>
          <w:tcPr>
            <w:tcW w:w="8920" w:type="dxa"/>
            <w:gridSpan w:val="2"/>
            <w:vAlign w:val="center"/>
          </w:tcPr>
          <w:p>
            <w:pPr>
              <w:adjustRightInd w:val="0"/>
              <w:snapToGrid w:val="0"/>
              <w:spacing w:before="100" w:beforeAutospacing="1" w:after="100" w:afterAutospacing="1"/>
              <w:ind w:right="496" w:rightChars="157"/>
              <w:textAlignment w:val="bottom"/>
              <w:rPr>
                <w:rFonts w:hint="default" w:ascii="黑体" w:hAnsi="黑体" w:eastAsia="黑体"/>
                <w:sz w:val="32"/>
                <w:szCs w:val="36"/>
                <w:lang w:val="en-US"/>
              </w:rPr>
            </w:pPr>
            <w:bookmarkStart w:id="0" w:name="PO_fhj"/>
            <w:r>
              <w:rPr>
                <w:rFonts w:hint="default" w:ascii="黑体" w:hAnsi="黑体" w:eastAsia="黑体"/>
                <w:sz w:val="32"/>
                <w:szCs w:val="36"/>
                <w:lang w:val="en-US"/>
              </w:rPr>
              <w:t xml:space="preserve"> </w:t>
            </w:r>
            <w:bookmarkEnd w:id="0"/>
          </w:p>
          <w:p>
            <w:pPr>
              <w:adjustRightInd w:val="0"/>
              <w:snapToGrid w:val="0"/>
              <w:spacing w:before="100" w:beforeAutospacing="1" w:after="100" w:afterAutospacing="1"/>
              <w:ind w:right="496" w:rightChars="157"/>
              <w:textAlignment w:val="bottom"/>
              <w:rPr>
                <w:rFonts w:hint="eastAsia" w:ascii="黑体" w:hAnsi="黑体" w:eastAsia="黑体"/>
                <w:sz w:val="32"/>
                <w:szCs w:val="36"/>
              </w:rPr>
            </w:pPr>
          </w:p>
        </w:tc>
      </w:tr>
      <w:tr>
        <w:tblPrEx>
          <w:tblCellMar>
            <w:top w:w="0" w:type="dxa"/>
            <w:left w:w="28" w:type="dxa"/>
            <w:bottom w:w="0" w:type="dxa"/>
            <w:right w:w="28" w:type="dxa"/>
          </w:tblCellMar>
        </w:tblPrEx>
        <w:trPr>
          <w:trHeight w:val="1392" w:hRule="exact"/>
        </w:trPr>
        <w:tc>
          <w:tcPr>
            <w:tcW w:w="8920" w:type="dxa"/>
            <w:gridSpan w:val="2"/>
            <w:vAlign w:val="center"/>
          </w:tcPr>
          <w:p>
            <w:pPr>
              <w:adjustRightInd w:val="0"/>
              <w:snapToGrid w:val="0"/>
              <w:spacing w:before="100" w:beforeAutospacing="1" w:after="100" w:afterAutospacing="1"/>
              <w:ind w:right="496" w:rightChars="157"/>
              <w:textAlignment w:val="bottom"/>
              <w:rPr>
                <w:rFonts w:eastAsia="黑体"/>
                <w:sz w:val="32"/>
                <w:szCs w:val="32"/>
              </w:rPr>
            </w:pPr>
          </w:p>
        </w:tc>
      </w:tr>
      <w:tr>
        <w:tblPrEx>
          <w:tblCellMar>
            <w:top w:w="0" w:type="dxa"/>
            <w:left w:w="28" w:type="dxa"/>
            <w:bottom w:w="0" w:type="dxa"/>
            <w:right w:w="28" w:type="dxa"/>
          </w:tblCellMar>
        </w:tblPrEx>
        <w:trPr>
          <w:trHeight w:val="1560" w:hRule="atLeast"/>
        </w:trPr>
        <w:tc>
          <w:tcPr>
            <w:tcW w:w="7079" w:type="dxa"/>
            <w:vAlign w:val="center"/>
          </w:tcPr>
          <w:p>
            <w:pPr>
              <w:adjustRightInd w:val="0"/>
              <w:snapToGrid w:val="0"/>
              <w:spacing w:before="100" w:beforeAutospacing="1" w:after="100" w:afterAutospacing="1" w:line="960" w:lineRule="exact"/>
              <w:jc w:val="distribute"/>
              <w:textAlignment w:val="bottom"/>
              <w:rPr>
                <w:rFonts w:hint="default" w:ascii="方正小标宋简体" w:eastAsia="方正小标宋简体"/>
                <w:b/>
                <w:bCs/>
                <w:color w:val="FF0000"/>
                <w:spacing w:val="-6"/>
                <w:w w:val="80"/>
                <w:sz w:val="72"/>
                <w:szCs w:val="72"/>
                <w:lang w:val="en-US"/>
              </w:rPr>
            </w:pPr>
            <w:bookmarkStart w:id="1" w:name="PO_fhead1"/>
            <w:r>
              <w:rPr>
                <w:rFonts w:hint="default" w:ascii="方正小标宋简体" w:eastAsia="方正小标宋简体"/>
                <w:b/>
                <w:bCs/>
                <w:color w:val="FF0000"/>
                <w:spacing w:val="-6"/>
                <w:w w:val="80"/>
                <w:sz w:val="72"/>
                <w:szCs w:val="72"/>
                <w:lang w:val="en-US"/>
              </w:rPr>
              <w:t>福建省财政厅</w:t>
            </w:r>
          </w:p>
          <w:p>
            <w:pPr>
              <w:adjustRightInd w:val="0"/>
              <w:snapToGrid w:val="0"/>
              <w:spacing w:before="100" w:beforeAutospacing="1" w:after="100" w:afterAutospacing="1" w:line="960" w:lineRule="exact"/>
              <w:jc w:val="distribute"/>
              <w:textAlignment w:val="bottom"/>
              <w:rPr>
                <w:rFonts w:hint="default" w:ascii="方正小标宋简体" w:eastAsia="方正小标宋简体"/>
                <w:b/>
                <w:bCs/>
                <w:color w:val="FF0000"/>
                <w:spacing w:val="-6"/>
                <w:w w:val="80"/>
                <w:sz w:val="72"/>
                <w:szCs w:val="72"/>
                <w:lang w:val="en-US"/>
              </w:rPr>
            </w:pPr>
            <w:r>
              <w:rPr>
                <w:rFonts w:hint="default" w:ascii="方正小标宋简体" w:eastAsia="方正小标宋简体"/>
                <w:b/>
                <w:bCs/>
                <w:color w:val="FF0000"/>
                <w:spacing w:val="-6"/>
                <w:w w:val="80"/>
                <w:sz w:val="72"/>
                <w:szCs w:val="72"/>
                <w:lang w:val="en-US"/>
              </w:rPr>
              <w:t>福建省科学技术厅</w:t>
            </w:r>
          </w:p>
          <w:p>
            <w:pPr>
              <w:adjustRightInd w:val="0"/>
              <w:snapToGrid w:val="0"/>
              <w:spacing w:before="100" w:beforeAutospacing="1" w:after="100" w:afterAutospacing="1" w:line="960" w:lineRule="exact"/>
              <w:jc w:val="distribute"/>
              <w:textAlignment w:val="bottom"/>
              <w:rPr>
                <w:rFonts w:hint="default" w:ascii="方正小标宋简体" w:eastAsia="方正小标宋简体"/>
                <w:b/>
                <w:bCs/>
                <w:color w:val="FF0000"/>
                <w:spacing w:val="-6"/>
                <w:w w:val="80"/>
                <w:sz w:val="72"/>
                <w:szCs w:val="72"/>
                <w:lang w:val="en-US"/>
              </w:rPr>
            </w:pPr>
            <w:r>
              <w:rPr>
                <w:rFonts w:hint="default" w:ascii="方正小标宋简体" w:eastAsia="方正小标宋简体"/>
                <w:b/>
                <w:bCs/>
                <w:color w:val="FF0000"/>
                <w:spacing w:val="-6"/>
                <w:w w:val="80"/>
                <w:sz w:val="72"/>
                <w:szCs w:val="72"/>
                <w:lang w:val="en-US"/>
              </w:rPr>
              <w:t>福建省发展和改革委员会</w:t>
            </w:r>
          </w:p>
          <w:p>
            <w:pPr>
              <w:adjustRightInd w:val="0"/>
              <w:snapToGrid w:val="0"/>
              <w:spacing w:before="100" w:beforeAutospacing="1" w:after="100" w:afterAutospacing="1" w:line="960" w:lineRule="exact"/>
              <w:jc w:val="distribute"/>
              <w:textAlignment w:val="bottom"/>
              <w:rPr>
                <w:rFonts w:hint="default" w:ascii="方正小标宋简体" w:eastAsia="方正小标宋简体"/>
                <w:b/>
                <w:bCs/>
                <w:color w:val="FF0000"/>
                <w:sz w:val="84"/>
                <w:szCs w:val="84"/>
                <w:lang w:val="en-US"/>
              </w:rPr>
            </w:pPr>
            <w:r>
              <w:rPr>
                <w:rFonts w:hint="default" w:ascii="方正小标宋简体" w:eastAsia="方正小标宋简体"/>
                <w:b/>
                <w:bCs/>
                <w:color w:val="FF0000"/>
                <w:spacing w:val="-6"/>
                <w:w w:val="80"/>
                <w:sz w:val="72"/>
                <w:szCs w:val="72"/>
                <w:lang w:val="en-US"/>
              </w:rPr>
              <w:t>福建省农业农村厅</w:t>
            </w:r>
            <w:bookmarkEnd w:id="1"/>
          </w:p>
        </w:tc>
        <w:tc>
          <w:tcPr>
            <w:tcW w:w="1841" w:type="dxa"/>
            <w:vAlign w:val="center"/>
          </w:tcPr>
          <w:p>
            <w:pPr>
              <w:adjustRightInd w:val="0"/>
              <w:snapToGrid w:val="0"/>
              <w:spacing w:before="100" w:beforeAutospacing="1" w:after="100" w:afterAutospacing="1"/>
              <w:jc w:val="center"/>
              <w:textAlignment w:val="bottom"/>
              <w:rPr>
                <w:rFonts w:ascii="方正小标宋简体" w:eastAsia="方正小标宋简体"/>
                <w:b/>
                <w:bCs/>
                <w:sz w:val="84"/>
                <w:szCs w:val="84"/>
              </w:rPr>
            </w:pPr>
            <w:bookmarkStart w:id="2" w:name="PO_fhead2"/>
            <w:r>
              <w:rPr>
                <w:rFonts w:hint="eastAsia" w:ascii="方正小标宋简体" w:eastAsia="方正小标宋简体" w:cs="宋体"/>
                <w:b/>
                <w:bCs/>
                <w:color w:val="FF0000"/>
                <w:spacing w:val="0"/>
                <w:w w:val="80"/>
                <w:sz w:val="84"/>
                <w:szCs w:val="84"/>
              </w:rPr>
              <w:t>文件</w:t>
            </w:r>
            <w:bookmarkEnd w:id="2"/>
          </w:p>
        </w:tc>
      </w:tr>
      <w:tr>
        <w:tblPrEx>
          <w:tblCellMar>
            <w:top w:w="0" w:type="dxa"/>
            <w:left w:w="28" w:type="dxa"/>
            <w:bottom w:w="0" w:type="dxa"/>
            <w:right w:w="28" w:type="dxa"/>
          </w:tblCellMar>
        </w:tblPrEx>
        <w:trPr>
          <w:trHeight w:val="931" w:hRule="exact"/>
        </w:trPr>
        <w:tc>
          <w:tcPr>
            <w:tcW w:w="8920" w:type="dxa"/>
            <w:gridSpan w:val="2"/>
            <w:vAlign w:val="bottom"/>
          </w:tcPr>
          <w:p>
            <w:pPr>
              <w:adjustRightInd w:val="0"/>
              <w:snapToGrid w:val="0"/>
              <w:spacing w:before="120" w:line="318" w:lineRule="atLeast"/>
              <w:ind w:right="339" w:firstLine="253" w:firstLineChars="80"/>
              <w:jc w:val="center"/>
              <w:textAlignment w:val="bottom"/>
              <w:rPr>
                <w:rFonts w:hint="default" w:ascii="仿宋" w:hAnsi="仿宋" w:eastAsia="仿宋"/>
                <w:lang w:val="en-US" w:eastAsia="zh-CN"/>
              </w:rPr>
            </w:pPr>
            <w:bookmarkStart w:id="3" w:name="PO_fwh"/>
            <w:r>
              <w:rPr>
                <w:rFonts w:hint="default" w:ascii="仿宋" w:hAnsi="仿宋" w:eastAsia="仿宋" w:cs="仿宋"/>
                <w:sz w:val="32"/>
                <w:szCs w:val="36"/>
                <w:lang w:val="en-US"/>
              </w:rPr>
              <w:t xml:space="preserve"> </w:t>
            </w:r>
            <w:bookmarkEnd w:id="3"/>
            <w:r>
              <w:rPr>
                <w:rFonts w:hint="default" w:ascii="仿宋" w:hAnsi="仿宋" w:eastAsia="仿宋" w:cs="仿宋"/>
                <w:sz w:val="32"/>
                <w:szCs w:val="36"/>
                <w:lang w:val="en-US"/>
              </w:rPr>
              <w:t>闽财规〔2023〕16号</w:t>
            </w:r>
          </w:p>
        </w:tc>
      </w:tr>
      <w:tr>
        <w:tblPrEx>
          <w:tblCellMar>
            <w:top w:w="0" w:type="dxa"/>
            <w:left w:w="28" w:type="dxa"/>
            <w:bottom w:w="0" w:type="dxa"/>
            <w:right w:w="28" w:type="dxa"/>
          </w:tblCellMar>
        </w:tblPrEx>
        <w:trPr>
          <w:trHeight w:val="92" w:hRule="exact"/>
        </w:trPr>
        <w:tc>
          <w:tcPr>
            <w:tcW w:w="8920" w:type="dxa"/>
            <w:gridSpan w:val="2"/>
            <w:vAlign w:val="top"/>
          </w:tcPr>
          <w:p>
            <w:pPr>
              <w:adjustRightInd w:val="0"/>
              <w:snapToGrid w:val="0"/>
              <w:spacing w:line="240" w:lineRule="exact"/>
              <w:jc w:val="center"/>
              <w:rPr>
                <w:rFonts w:ascii="仿宋" w:hAnsi="仿宋" w:cs="宋体"/>
                <w:sz w:val="10"/>
                <w:szCs w:val="10"/>
              </w:rPr>
            </w:pPr>
            <w:bookmarkStart w:id="4" w:name="PO_fline"/>
            <w:r>
              <w:rPr>
                <w:rFonts w:ascii="仿宋" w:hAnsi="仿宋" w:cs="宋体"/>
                <w:sz w:val="10"/>
                <w:szCs w:val="10"/>
              </w:rPr>
              <w:pict>
                <v:line id="_x0000_s1026" o:spid="_x0000_s1026" o:spt="20" style="position:absolute;left:0pt;margin-top:5.65pt;height:0pt;width:441.05pt;mso-position-horizontal:center;mso-wrap-distance-left:9pt;mso-wrap-distance-right:9pt;z-index:-251657216;mso-width-relative:page;mso-height-relative:page;" filled="f" stroked="t" coordsize="21600,21600" wrapcoords="0 0 21600 0 0 0">
                  <v:path arrowok="t"/>
                  <v:fill on="f" focussize="0,0"/>
                  <v:stroke weight="3pt" color="#FF0000"/>
                  <v:imagedata o:title=""/>
                  <o:lock v:ext="edit"/>
                  <w10:wrap type="tight"/>
                </v:line>
              </w:pict>
            </w:r>
            <w:bookmarkEnd w:id="4"/>
          </w:p>
        </w:tc>
      </w:tr>
    </w:tbl>
    <w:p>
      <w:pPr>
        <w:spacing w:line="560" w:lineRule="exact"/>
        <w:rPr>
          <w:rFonts w:hint="eastAsia" w:ascii="仿宋" w:hAnsi="仿宋" w:eastAsia="仿宋" w:cs="仿宋"/>
          <w:sz w:val="32"/>
          <w:szCs w:val="36"/>
        </w:rPr>
      </w:pPr>
    </w:p>
    <w:p>
      <w:pPr>
        <w:snapToGrid w:val="0"/>
        <w:spacing w:line="560" w:lineRule="exact"/>
        <w:jc w:val="center"/>
        <w:rPr>
          <w:rFonts w:hint="default" w:ascii="方正小标宋简体" w:hAnsi="仿宋" w:eastAsia="方正小标宋简体"/>
          <w:sz w:val="44"/>
          <w:szCs w:val="44"/>
          <w:lang w:val="en-US"/>
        </w:rPr>
      </w:pPr>
      <w:bookmarkStart w:id="5" w:name="PO_fbt"/>
      <w:r>
        <w:rPr>
          <w:rFonts w:hint="default" w:ascii="方正小标宋简体" w:hAnsi="仿宋" w:eastAsia="方正小标宋简体"/>
          <w:sz w:val="44"/>
          <w:szCs w:val="44"/>
          <w:lang w:val="en-US"/>
        </w:rPr>
        <w:t>福建省财政厅 福建省科学技术厅 福建省发展和改革委员会 福建省农业农村厅关于印发 《福建省科技特派员专项资金管理办法》</w:t>
      </w:r>
    </w:p>
    <w:p>
      <w:pPr>
        <w:snapToGrid w:val="0"/>
        <w:spacing w:line="560" w:lineRule="exact"/>
        <w:jc w:val="center"/>
        <w:rPr>
          <w:rFonts w:hint="default" w:ascii="宋体" w:hAnsi="宋体" w:eastAsia="宋体" w:cs="宋体"/>
          <w:sz w:val="44"/>
          <w:szCs w:val="44"/>
          <w:lang w:val="en-US"/>
        </w:rPr>
      </w:pPr>
      <w:r>
        <w:rPr>
          <w:rFonts w:hint="default" w:ascii="方正小标宋简体" w:hAnsi="仿宋" w:eastAsia="方正小标宋简体"/>
          <w:sz w:val="44"/>
          <w:szCs w:val="44"/>
          <w:lang w:val="en-US"/>
        </w:rPr>
        <w:t>的通知</w:t>
      </w:r>
      <w:bookmarkEnd w:id="5"/>
    </w:p>
    <w:p>
      <w:pPr>
        <w:spacing w:line="560" w:lineRule="exact"/>
        <w:rPr>
          <w:rFonts w:hint="eastAsia" w:ascii="仿宋" w:hAnsi="仿宋" w:eastAsia="仿宋"/>
          <w:sz w:val="32"/>
          <w:szCs w:val="36"/>
        </w:rPr>
      </w:pPr>
    </w:p>
    <w:p>
      <w:pPr>
        <w:spacing w:line="560" w:lineRule="exact"/>
        <w:jc w:val="left"/>
        <w:rPr>
          <w:rFonts w:hint="eastAsia" w:ascii="仿宋" w:hAnsi="仿宋" w:eastAsia="仿宋" w:cs="仿宋"/>
        </w:rPr>
      </w:pPr>
      <w:bookmarkStart w:id="6" w:name="PO_fzs"/>
      <w:r>
        <w:rPr>
          <w:rFonts w:hint="eastAsia" w:ascii="仿宋" w:hAnsi="仿宋" w:eastAsia="仿宋" w:cs="仿宋"/>
          <w:sz w:val="32"/>
          <w:szCs w:val="32"/>
          <w:lang w:val="en-US"/>
        </w:rPr>
        <w:t>各设区市财政局、科技局、发改局、农业农村局，平潭综合实验区财政金融局、经济发展局、农业农村局，省直有关单位：</w:t>
      </w:r>
      <w:bookmarkEnd w:id="6"/>
    </w:p>
    <w:p>
      <w:pPr>
        <w:keepNext w:val="0"/>
        <w:keepLines w:val="0"/>
        <w:pageBreakBefore w:val="0"/>
        <w:kinsoku/>
        <w:wordWrap/>
        <w:overflowPunct/>
        <w:topLinePunct w:val="0"/>
        <w:autoSpaceDE/>
        <w:autoSpaceDN/>
        <w:bidi w:val="0"/>
        <w:adjustRightInd/>
        <w:snapToGrid/>
        <w:spacing w:line="560" w:lineRule="exact"/>
        <w:ind w:right="0" w:rightChars="0" w:firstLine="632" w:firstLineChars="200"/>
        <w:textAlignment w:val="auto"/>
        <w:outlineLvl w:val="9"/>
        <w:rPr>
          <w:rFonts w:hint="eastAsia" w:ascii="仿宋" w:hAnsi="仿宋" w:eastAsia="仿宋" w:cs="仿宋"/>
          <w:lang w:eastAsia="zh-CN"/>
        </w:rPr>
      </w:pPr>
      <w:bookmarkStart w:id="7" w:name="PO_zw"/>
      <w:bookmarkEnd w:id="7"/>
      <w:r>
        <w:rPr>
          <w:rFonts w:hint="eastAsia" w:ascii="仿宋" w:hAnsi="仿宋" w:eastAsia="仿宋" w:cs="仿宋"/>
          <w:color w:val="000000"/>
          <w:sz w:val="32"/>
          <w:szCs w:val="32"/>
        </w:rPr>
        <w:t>为了</w:t>
      </w:r>
      <w:r>
        <w:rPr>
          <w:rFonts w:hint="eastAsia" w:ascii="仿宋" w:hAnsi="仿宋" w:eastAsia="仿宋" w:cs="仿宋"/>
          <w:color w:val="000000"/>
          <w:sz w:val="32"/>
          <w:szCs w:val="32"/>
          <w:lang w:eastAsia="zh-CN"/>
        </w:rPr>
        <w:t>规范和加强专项资金的使用和管理，提高资金使用效益，</w:t>
      </w:r>
      <w:r>
        <w:rPr>
          <w:rFonts w:hint="eastAsia" w:ascii="仿宋" w:hAnsi="仿宋" w:eastAsia="仿宋" w:cs="仿宋"/>
          <w:color w:val="000000"/>
          <w:sz w:val="32"/>
          <w:szCs w:val="32"/>
        </w:rPr>
        <w:t>根据</w:t>
      </w:r>
      <w:r>
        <w:rPr>
          <w:rFonts w:hint="eastAsia" w:ascii="仿宋" w:hAnsi="仿宋" w:eastAsia="仿宋" w:cs="仿宋"/>
          <w:color w:val="000000"/>
          <w:sz w:val="32"/>
          <w:szCs w:val="32"/>
          <w:lang w:eastAsia="zh-CN"/>
        </w:rPr>
        <w:t>《中华人民共和国预算法》《中华人民共和国预算法实施条例》</w:t>
      </w:r>
      <w:r>
        <w:rPr>
          <w:rFonts w:hint="eastAsia" w:ascii="仿宋" w:hAnsi="仿宋" w:eastAsia="仿宋" w:cs="仿宋"/>
          <w:color w:val="000000"/>
          <w:szCs w:val="32"/>
          <w:lang w:eastAsia="zh-CN"/>
        </w:rPr>
        <w:t>《</w:t>
      </w:r>
      <w:r>
        <w:rPr>
          <w:rFonts w:hint="eastAsia" w:ascii="仿宋" w:hAnsi="仿宋" w:eastAsia="仿宋" w:cs="仿宋"/>
          <w:color w:val="000000"/>
          <w:sz w:val="32"/>
          <w:szCs w:val="32"/>
        </w:rPr>
        <w:t>中共福建省委 福建省人民政府印发</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关于全面实施预算绩效管理的实施意见</w:t>
      </w:r>
      <w:r>
        <w:rPr>
          <w:rFonts w:hint="eastAsia" w:ascii="仿宋" w:hAnsi="仿宋" w:eastAsia="仿宋" w:cs="仿宋"/>
          <w:color w:val="000000"/>
          <w:sz w:val="32"/>
          <w:szCs w:val="32"/>
          <w:lang w:eastAsia="zh-CN"/>
        </w:rPr>
        <w:t>〉的通知</w:t>
      </w: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和《福建省省级财政专项资金管理办法》（福建省人民政府令第</w:t>
      </w:r>
      <w:r>
        <w:rPr>
          <w:rFonts w:hint="eastAsia" w:ascii="仿宋" w:hAnsi="仿宋" w:eastAsia="仿宋" w:cs="仿宋"/>
          <w:color w:val="000000"/>
          <w:sz w:val="32"/>
          <w:szCs w:val="32"/>
          <w:lang w:val="en-US" w:eastAsia="zh-CN"/>
        </w:rPr>
        <w:t>131号）</w:t>
      </w:r>
      <w:r>
        <w:rPr>
          <w:rFonts w:hint="eastAsia" w:ascii="仿宋" w:hAnsi="仿宋" w:eastAsia="仿宋" w:cs="仿宋"/>
          <w:color w:val="000000"/>
          <w:sz w:val="32"/>
          <w:szCs w:val="32"/>
          <w:lang w:eastAsia="zh-CN"/>
        </w:rPr>
        <w:t>等有关规定，</w:t>
      </w:r>
      <w:r>
        <w:rPr>
          <w:rFonts w:hint="eastAsia" w:ascii="仿宋" w:hAnsi="仿宋" w:eastAsia="仿宋" w:cs="仿宋"/>
          <w:lang w:eastAsia="zh-CN"/>
        </w:rPr>
        <w:t>现将《福建省科技特派员专项资金管理办法》印发给你们，请认真按照办法的要求，加强对所属单位科技特派员和专项资金的管理，做好项目的组织实施和服务工作。</w:t>
      </w:r>
    </w:p>
    <w:p>
      <w:pPr>
        <w:pStyle w:val="2"/>
        <w:keepNext w:val="0"/>
        <w:keepLines w:val="0"/>
        <w:pageBreakBefore w:val="0"/>
        <w:kinsoku/>
        <w:wordWrap/>
        <w:overflowPunct/>
        <w:topLinePunct w:val="0"/>
        <w:autoSpaceDE/>
        <w:autoSpaceDN/>
        <w:bidi w:val="0"/>
        <w:adjustRightInd/>
        <w:snapToGrid/>
        <w:spacing w:after="0" w:line="560" w:lineRule="exact"/>
        <w:ind w:right="0" w:rightChars="0"/>
        <w:textAlignment w:val="auto"/>
        <w:outlineLvl w:val="9"/>
        <w:rPr>
          <w:rFonts w:hint="eastAsia" w:ascii="仿宋" w:hAnsi="仿宋" w:eastAsia="仿宋" w:cs="仿宋"/>
          <w:sz w:val="32"/>
          <w:szCs w:val="32"/>
        </w:rPr>
      </w:pPr>
    </w:p>
    <w:tbl>
      <w:tblPr>
        <w:tblStyle w:val="6"/>
        <w:tblW w:w="9061" w:type="dxa"/>
        <w:tblInd w:w="0" w:type="dxa"/>
        <w:tblLayout w:type="fixed"/>
        <w:tblCellMar>
          <w:top w:w="0" w:type="dxa"/>
          <w:left w:w="108" w:type="dxa"/>
          <w:bottom w:w="0" w:type="dxa"/>
          <w:right w:w="108" w:type="dxa"/>
        </w:tblCellMar>
      </w:tblPr>
      <w:tblGrid>
        <w:gridCol w:w="4413"/>
        <w:gridCol w:w="4648"/>
      </w:tblGrid>
      <w:tr>
        <w:tblPrEx>
          <w:tblCellMar>
            <w:top w:w="0" w:type="dxa"/>
            <w:left w:w="108" w:type="dxa"/>
            <w:bottom w:w="0" w:type="dxa"/>
            <w:right w:w="108" w:type="dxa"/>
          </w:tblCellMar>
        </w:tblPrEx>
        <w:trPr>
          <w:trHeight w:val="1191" w:hRule="atLeast"/>
        </w:trPr>
        <w:tc>
          <w:tcPr>
            <w:tcW w:w="4413" w:type="dxa"/>
            <w:vAlign w:val="center"/>
          </w:tcPr>
          <w:p>
            <w:pPr>
              <w:spacing w:line="560" w:lineRule="exact"/>
              <w:jc w:val="center"/>
              <w:rPr>
                <w:rFonts w:hint="eastAsia" w:ascii="仿宋" w:hAnsi="仿宋" w:eastAsia="仿宋" w:cs="仿宋"/>
                <w:color w:val="000000"/>
                <w:sz w:val="32"/>
                <w:szCs w:val="32"/>
              </w:rPr>
            </w:pPr>
            <w:bookmarkStart w:id="8" w:name="fqfrq"/>
            <w:bookmarkEnd w:id="8"/>
          </w:p>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bookmarkStart w:id="9" w:name="PO_fsm1"/>
            <w:r>
              <w:rPr>
                <w:rFonts w:hint="eastAsia" w:ascii="仿宋" w:hAnsi="仿宋" w:eastAsia="仿宋" w:cs="仿宋"/>
                <w:color w:val="000000"/>
                <w:sz w:val="32"/>
                <w:szCs w:val="32"/>
                <w:lang w:val="en-US"/>
              </w:rPr>
              <w:t>福建省财政厅</w:t>
            </w:r>
            <w:bookmarkEnd w:id="9"/>
          </w:p>
        </w:tc>
        <w:tc>
          <w:tcPr>
            <w:tcW w:w="4648" w:type="dxa"/>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ind w:firstLine="948" w:firstLineChars="300"/>
              <w:jc w:val="both"/>
              <w:rPr>
                <w:rFonts w:hint="eastAsia" w:ascii="仿宋" w:hAnsi="仿宋" w:eastAsia="仿宋" w:cs="仿宋"/>
                <w:color w:val="000000"/>
                <w:sz w:val="32"/>
                <w:szCs w:val="32"/>
              </w:rPr>
            </w:pPr>
            <w:bookmarkStart w:id="10" w:name="PO_fsm2"/>
            <w:r>
              <w:rPr>
                <w:rFonts w:hint="eastAsia" w:ascii="仿宋" w:hAnsi="仿宋" w:eastAsia="仿宋" w:cs="仿宋"/>
                <w:color w:val="000000"/>
                <w:sz w:val="32"/>
                <w:szCs w:val="32"/>
                <w:lang w:val="en-US"/>
              </w:rPr>
              <w:t>福建省科学技术厅</w:t>
            </w:r>
            <w:bookmarkEnd w:id="10"/>
          </w:p>
        </w:tc>
      </w:tr>
      <w:tr>
        <w:tblPrEx>
          <w:tblCellMar>
            <w:top w:w="0" w:type="dxa"/>
            <w:left w:w="108" w:type="dxa"/>
            <w:bottom w:w="0" w:type="dxa"/>
            <w:right w:w="108" w:type="dxa"/>
          </w:tblCellMar>
        </w:tblPrEx>
        <w:trPr>
          <w:trHeight w:val="1361" w:hRule="atLeast"/>
        </w:trPr>
        <w:tc>
          <w:tcPr>
            <w:tcW w:w="4413" w:type="dxa"/>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lang w:val="en-US"/>
              </w:rPr>
            </w:pPr>
            <w:bookmarkStart w:id="11" w:name="PO_fsm3"/>
            <w:r>
              <w:rPr>
                <w:rFonts w:hint="eastAsia" w:ascii="仿宋" w:hAnsi="仿宋" w:eastAsia="仿宋" w:cs="仿宋"/>
                <w:color w:val="000000"/>
                <w:sz w:val="32"/>
                <w:szCs w:val="32"/>
                <w:lang w:val="en-US"/>
              </w:rPr>
              <w:t>福建省发展和改革委员会</w:t>
            </w:r>
            <w:bookmarkEnd w:id="11"/>
          </w:p>
        </w:tc>
        <w:tc>
          <w:tcPr>
            <w:tcW w:w="4648" w:type="dxa"/>
            <w:vAlign w:val="center"/>
          </w:tcPr>
          <w:p>
            <w:pPr>
              <w:spacing w:line="560" w:lineRule="exact"/>
              <w:jc w:val="center"/>
              <w:rPr>
                <w:rFonts w:hint="eastAsia" w:ascii="仿宋" w:hAnsi="仿宋" w:eastAsia="仿宋" w:cs="仿宋"/>
                <w:color w:val="000000"/>
                <w:sz w:val="32"/>
                <w:szCs w:val="32"/>
              </w:rPr>
            </w:pPr>
          </w:p>
          <w:p>
            <w:pPr>
              <w:spacing w:line="560" w:lineRule="exact"/>
              <w:jc w:val="center"/>
              <w:rPr>
                <w:rFonts w:hint="eastAsia" w:ascii="仿宋" w:hAnsi="仿宋" w:eastAsia="仿宋" w:cs="仿宋"/>
                <w:color w:val="000000"/>
                <w:sz w:val="32"/>
                <w:szCs w:val="32"/>
              </w:rPr>
            </w:pPr>
          </w:p>
          <w:p>
            <w:pPr>
              <w:spacing w:line="560" w:lineRule="exact"/>
              <w:ind w:firstLine="948" w:firstLineChars="300"/>
              <w:jc w:val="both"/>
              <w:rPr>
                <w:rFonts w:hint="eastAsia" w:ascii="仿宋" w:hAnsi="仿宋" w:eastAsia="仿宋" w:cs="仿宋"/>
                <w:color w:val="000000"/>
                <w:sz w:val="32"/>
                <w:szCs w:val="32"/>
                <w:lang w:val="en-US"/>
              </w:rPr>
            </w:pPr>
            <w:bookmarkStart w:id="12" w:name="PO_fsm4"/>
            <w:r>
              <w:rPr>
                <w:rFonts w:hint="eastAsia" w:ascii="仿宋" w:hAnsi="仿宋" w:eastAsia="仿宋" w:cs="仿宋"/>
                <w:color w:val="000000"/>
                <w:sz w:val="32"/>
                <w:szCs w:val="32"/>
                <w:lang w:val="en-US"/>
              </w:rPr>
              <w:t>福建省农业农村厅</w:t>
            </w:r>
            <w:bookmarkEnd w:id="12"/>
          </w:p>
        </w:tc>
      </w:tr>
      <w:tr>
        <w:tblPrEx>
          <w:tblCellMar>
            <w:top w:w="0" w:type="dxa"/>
            <w:left w:w="108" w:type="dxa"/>
            <w:bottom w:w="0" w:type="dxa"/>
            <w:right w:w="108" w:type="dxa"/>
          </w:tblCellMar>
        </w:tblPrEx>
        <w:trPr>
          <w:trHeight w:val="308" w:hRule="atLeast"/>
        </w:trPr>
        <w:tc>
          <w:tcPr>
            <w:tcW w:w="9061" w:type="dxa"/>
            <w:gridSpan w:val="2"/>
            <w:vAlign w:val="bottom"/>
          </w:tcPr>
          <w:p>
            <w:pPr>
              <w:keepNext w:val="0"/>
              <w:keepLines w:val="0"/>
              <w:pageBreakBefore w:val="0"/>
              <w:widowControl w:val="0"/>
              <w:kinsoku/>
              <w:wordWrap w:val="0"/>
              <w:overflowPunct/>
              <w:topLinePunct w:val="0"/>
              <w:autoSpaceDE/>
              <w:autoSpaceDN/>
              <w:bidi w:val="0"/>
              <w:adjustRightInd/>
              <w:snapToGrid/>
              <w:spacing w:line="560" w:lineRule="exact"/>
              <w:ind w:right="0"/>
              <w:jc w:val="center"/>
              <w:textAlignment w:val="auto"/>
              <w:rPr>
                <w:rFonts w:hint="eastAsia" w:ascii="仿宋" w:hAnsi="仿宋" w:eastAsia="仿宋" w:cs="仿宋"/>
                <w:color w:val="000000"/>
                <w:sz w:val="32"/>
                <w:szCs w:val="32"/>
                <w:lang w:val="en-US" w:eastAsia="zh-CN"/>
              </w:rPr>
            </w:pPr>
            <w:bookmarkStart w:id="13" w:name="PO_fqfrq"/>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lang w:val="en-US"/>
              </w:rPr>
              <w:t>2023年7月</w:t>
            </w:r>
            <w:r>
              <w:rPr>
                <w:rFonts w:hint="eastAsia" w:ascii="仿宋" w:hAnsi="仿宋" w:eastAsia="仿宋" w:cs="仿宋"/>
                <w:color w:val="000000"/>
                <w:sz w:val="32"/>
                <w:szCs w:val="32"/>
                <w:lang w:val="en-US" w:eastAsia="zh-CN"/>
              </w:rPr>
              <w:t>28</w:t>
            </w:r>
            <w:r>
              <w:rPr>
                <w:rFonts w:hint="eastAsia" w:ascii="仿宋" w:hAnsi="仿宋" w:eastAsia="仿宋" w:cs="仿宋"/>
                <w:color w:val="000000"/>
                <w:sz w:val="32"/>
                <w:szCs w:val="32"/>
                <w:lang w:val="en-US"/>
              </w:rPr>
              <w:t>日</w:t>
            </w:r>
            <w:bookmarkEnd w:id="13"/>
            <w:r>
              <w:rPr>
                <w:rFonts w:hint="eastAsia" w:ascii="仿宋" w:hAnsi="仿宋" w:eastAsia="仿宋" w:cs="仿宋"/>
                <w:color w:val="000000"/>
                <w:sz w:val="32"/>
                <w:szCs w:val="32"/>
                <w:lang w:val="en-US" w:eastAsia="zh-CN"/>
              </w:rPr>
              <w:t xml:space="preserve">       </w:t>
            </w:r>
          </w:p>
        </w:tc>
      </w:tr>
    </w:tbl>
    <w:p>
      <w:pPr>
        <w:spacing w:line="560" w:lineRule="exact"/>
        <w:rPr>
          <w:rFonts w:hint="eastAsia" w:ascii="仿宋" w:hAnsi="仿宋" w:cs="仿宋"/>
        </w:rPr>
      </w:pPr>
    </w:p>
    <w:p>
      <w:pPr>
        <w:spacing w:line="560" w:lineRule="exact"/>
        <w:rPr>
          <w:rFonts w:hint="eastAsia" w:ascii="仿宋" w:hAnsi="仿宋"/>
        </w:rPr>
      </w:pPr>
    </w:p>
    <w:p>
      <w:pPr>
        <w:pStyle w:val="2"/>
        <w:spacing w:after="0" w:line="560" w:lineRule="exact"/>
        <w:rPr>
          <w:rFonts w:hint="eastAsia" w:ascii="仿宋" w:hAnsi="仿宋"/>
          <w:sz w:val="32"/>
          <w:szCs w:val="32"/>
        </w:rPr>
      </w:pPr>
    </w:p>
    <w:p>
      <w:pPr>
        <w:pStyle w:val="2"/>
        <w:spacing w:after="0" w:line="560" w:lineRule="exact"/>
        <w:rPr>
          <w:rFonts w:hint="eastAsia" w:ascii="仿宋" w:hAnsi="仿宋"/>
          <w:sz w:val="32"/>
          <w:szCs w:val="32"/>
        </w:rPr>
      </w:pPr>
    </w:p>
    <w:p>
      <w:pPr>
        <w:pStyle w:val="2"/>
        <w:spacing w:after="0" w:line="560" w:lineRule="exact"/>
        <w:rPr>
          <w:rFonts w:hint="eastAsia" w:ascii="仿宋" w:hAnsi="仿宋"/>
          <w:sz w:val="32"/>
          <w:szCs w:val="32"/>
        </w:rPr>
      </w:pPr>
    </w:p>
    <w:p>
      <w:pPr>
        <w:adjustRightInd w:val="0"/>
        <w:snapToGrid w:val="0"/>
        <w:spacing w:line="560" w:lineRule="exact"/>
        <w:ind w:right="160"/>
        <w:jc w:val="center"/>
        <w:rPr>
          <w:rFonts w:hint="eastAsia" w:ascii="方正小标宋简体" w:hAnsi="方正小标宋简体" w:eastAsia="方正小标宋简体" w:cs="方正小标宋简体"/>
          <w:b w:val="0"/>
          <w:bCs/>
          <w:spacing w:val="-10"/>
          <w:sz w:val="32"/>
          <w:szCs w:val="32"/>
        </w:rPr>
      </w:pPr>
    </w:p>
    <w:p>
      <w:pPr>
        <w:adjustRightInd w:val="0"/>
        <w:snapToGrid w:val="0"/>
        <w:spacing w:line="560" w:lineRule="exact"/>
        <w:ind w:right="160"/>
        <w:jc w:val="center"/>
        <w:rPr>
          <w:rFonts w:hint="eastAsia" w:ascii="方正小标宋简体" w:hAnsi="方正小标宋简体" w:eastAsia="方正小标宋简体" w:cs="方正小标宋简体"/>
          <w:b w:val="0"/>
          <w:bCs/>
          <w:spacing w:val="-10"/>
          <w:sz w:val="32"/>
          <w:szCs w:val="32"/>
        </w:rPr>
      </w:pPr>
    </w:p>
    <w:p>
      <w:pPr>
        <w:adjustRightInd w:val="0"/>
        <w:snapToGrid w:val="0"/>
        <w:spacing w:line="560" w:lineRule="exact"/>
        <w:ind w:right="160"/>
        <w:jc w:val="center"/>
        <w:rPr>
          <w:rFonts w:hint="eastAsia" w:ascii="方正小标宋简体" w:hAnsi="方正小标宋简体" w:eastAsia="方正小标宋简体" w:cs="方正小标宋简体"/>
          <w:b w:val="0"/>
          <w:bCs/>
          <w:spacing w:val="-10"/>
          <w:sz w:val="44"/>
          <w:szCs w:val="44"/>
        </w:rPr>
      </w:pPr>
      <w:r>
        <w:rPr>
          <w:rFonts w:hint="eastAsia" w:ascii="方正小标宋简体" w:hAnsi="方正小标宋简体" w:eastAsia="方正小标宋简体" w:cs="方正小标宋简体"/>
          <w:b w:val="0"/>
          <w:bCs/>
          <w:spacing w:val="-10"/>
          <w:sz w:val="44"/>
          <w:szCs w:val="44"/>
        </w:rPr>
        <w:t>福建省科技特派员专项资金管理办法</w:t>
      </w:r>
    </w:p>
    <w:p>
      <w:pPr>
        <w:adjustRightInd w:val="0"/>
        <w:snapToGrid w:val="0"/>
        <w:spacing w:line="560" w:lineRule="exact"/>
        <w:jc w:val="center"/>
        <w:rPr>
          <w:rFonts w:ascii="宋体"/>
          <w:sz w:val="32"/>
          <w:szCs w:val="32"/>
        </w:rPr>
      </w:pP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第一条</w:t>
      </w:r>
      <w:r>
        <w:rPr>
          <w:rFonts w:hint="eastAsia" w:ascii="仿宋" w:hAnsi="仿宋" w:eastAsia="仿宋"/>
          <w:b/>
          <w:sz w:val="32"/>
          <w:szCs w:val="32"/>
          <w:lang w:val="en-US" w:eastAsia="zh-CN"/>
        </w:rPr>
        <w:t xml:space="preserve">  </w:t>
      </w:r>
      <w:r>
        <w:rPr>
          <w:rFonts w:hint="eastAsia" w:ascii="仿宋" w:hAnsi="仿宋" w:eastAsia="仿宋"/>
          <w:sz w:val="32"/>
          <w:szCs w:val="32"/>
        </w:rPr>
        <w:t>为规范福建省科技特派员专项资金使用和管理，提高专项资金使用效益，根据《中华人民共和国预算法》《中华人民共和国科学技术进步法》《中共福建省委办公厅 福建省人民政府办公厅印发</w:t>
      </w:r>
      <w:r>
        <w:rPr>
          <w:rFonts w:hint="eastAsia" w:ascii="仿宋" w:hAnsi="仿宋" w:eastAsia="仿宋" w:cs="仿宋"/>
          <w:sz w:val="32"/>
          <w:szCs w:val="32"/>
        </w:rPr>
        <w:t>&lt;</w:t>
      </w:r>
      <w:r>
        <w:rPr>
          <w:rFonts w:hint="eastAsia" w:ascii="仿宋" w:hAnsi="仿宋" w:eastAsia="仿宋"/>
          <w:sz w:val="32"/>
          <w:szCs w:val="32"/>
        </w:rPr>
        <w:t>关于新时代坚持和深化科技特派员制度的意见</w:t>
      </w:r>
      <w:r>
        <w:rPr>
          <w:rFonts w:hint="eastAsia" w:ascii="仿宋" w:hAnsi="仿宋" w:eastAsia="仿宋" w:cs="仿宋"/>
          <w:sz w:val="32"/>
          <w:szCs w:val="32"/>
        </w:rPr>
        <w:t>&gt;</w:t>
      </w:r>
      <w:r>
        <w:rPr>
          <w:rFonts w:hint="eastAsia" w:ascii="仿宋" w:hAnsi="仿宋" w:eastAsia="仿宋"/>
          <w:sz w:val="32"/>
          <w:szCs w:val="32"/>
        </w:rPr>
        <w:t xml:space="preserve">的通知》（闽委办发〔2019〕62号）《中共福建省委办公厅 福建省人民政府办公厅印发&lt;关于深入推进科技特派员制度服务乡村振兴的若干措施&gt;的通知》（闽委办发〔2022〕5号）等有关规定精神，制定本办法。     </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第二条</w:t>
      </w:r>
      <w:r>
        <w:rPr>
          <w:rFonts w:hint="eastAsia" w:ascii="仿宋" w:hAnsi="仿宋" w:eastAsia="仿宋"/>
          <w:sz w:val="32"/>
          <w:szCs w:val="32"/>
        </w:rPr>
        <w:t xml:space="preserve">  本办法所称福建省科技特派员专项资金（以下简称“专项资金”）是指由省级财政筹集设立的支持科技特派员工作的专项资金。专项资金规模每年1亿元，由省发改委、省科技厅、省财政厅、省农业农村厅每年各安排2500万元。</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第三条</w:t>
      </w:r>
      <w:r>
        <w:rPr>
          <w:rFonts w:hint="eastAsia" w:ascii="仿宋" w:hAnsi="仿宋" w:eastAsia="仿宋"/>
          <w:sz w:val="32"/>
          <w:szCs w:val="32"/>
        </w:rPr>
        <w:t xml:space="preserve">  专项资金用于经选认的省级科技特派员的</w:t>
      </w:r>
      <w:r>
        <w:rPr>
          <w:rFonts w:hint="eastAsia" w:ascii="仿宋" w:hAnsi="仿宋" w:eastAsia="仿宋" w:cs="仿宋"/>
          <w:kern w:val="0"/>
          <w:sz w:val="32"/>
          <w:szCs w:val="32"/>
        </w:rPr>
        <w:t>工作经费、牵头承担的项目、参与建设的</w:t>
      </w:r>
      <w:r>
        <w:rPr>
          <w:rFonts w:hint="eastAsia" w:ascii="仿宋" w:hAnsi="仿宋" w:eastAsia="仿宋"/>
          <w:sz w:val="32"/>
          <w:szCs w:val="32"/>
        </w:rPr>
        <w:t>省级星创天地后补助项目，科技特派员服务云平台建设、运营和维护，以及与新时代坚持和深化科技特派员制度相关的工作。</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第四条</w:t>
      </w:r>
      <w:r>
        <w:rPr>
          <w:rFonts w:hint="eastAsia" w:ascii="仿宋" w:hAnsi="仿宋" w:eastAsia="仿宋"/>
          <w:sz w:val="32"/>
          <w:szCs w:val="32"/>
        </w:rPr>
        <w:t xml:space="preserve">  专项资金管理遵循“集中财力、分类支持、竞争择优、合理配置、专款专用”的原则,引导和支持科技特派员围绕中央和省委省政府的重点工作部署，服务乡村振兴，助力产业转型升级。</w:t>
      </w:r>
    </w:p>
    <w:p>
      <w:pPr>
        <w:keepNext w:val="0"/>
        <w:keepLines w:val="0"/>
        <w:pageBreakBefore w:val="0"/>
        <w:kinsoku/>
        <w:wordWrap/>
        <w:overflowPunct/>
        <w:topLinePunct w:val="0"/>
        <w:autoSpaceDE/>
        <w:autoSpaceDN/>
        <w:bidi w:val="0"/>
        <w:adjustRightInd w:val="0"/>
        <w:snapToGrid w:val="0"/>
        <w:spacing w:line="560" w:lineRule="exact"/>
        <w:ind w:firstLine="632" w:firstLineChars="200"/>
        <w:textAlignment w:val="auto"/>
        <w:outlineLvl w:val="9"/>
        <w:rPr>
          <w:rFonts w:hint="eastAsia" w:ascii="仿宋" w:hAnsi="仿宋" w:eastAsia="仿宋" w:cs="仿宋"/>
          <w:color w:val="auto"/>
          <w:sz w:val="32"/>
          <w:szCs w:val="32"/>
          <w:lang w:eastAsia="zh-CN"/>
        </w:rPr>
      </w:pPr>
      <w:r>
        <w:rPr>
          <w:rFonts w:hint="eastAsia" w:ascii="仿宋" w:hAnsi="仿宋" w:eastAsia="仿宋" w:cs="仿宋"/>
          <w:b/>
          <w:sz w:val="32"/>
          <w:szCs w:val="32"/>
          <w:lang w:eastAsia="zh-CN"/>
        </w:rPr>
        <w:t>第五条</w:t>
      </w:r>
      <w:r>
        <w:rPr>
          <w:rFonts w:hint="eastAsia" w:ascii="仿宋" w:hAnsi="仿宋" w:eastAsia="仿宋" w:cs="仿宋"/>
          <w:b/>
          <w:sz w:val="32"/>
          <w:szCs w:val="32"/>
          <w:lang w:val="en-US" w:eastAsia="zh-CN"/>
        </w:rPr>
        <w:t xml:space="preserve"> </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highlight w:val="none"/>
          <w:lang w:val="en-US" w:eastAsia="zh-CN"/>
        </w:rPr>
        <w:t>专项资金的执行期限为3年，从2023年至2025年。</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w:t>
      </w:r>
      <w:r>
        <w:rPr>
          <w:rFonts w:hint="eastAsia" w:ascii="仿宋" w:hAnsi="仿宋" w:eastAsia="仿宋"/>
          <w:b/>
          <w:sz w:val="32"/>
          <w:szCs w:val="32"/>
          <w:lang w:eastAsia="zh-CN"/>
        </w:rPr>
        <w:t>六</w:t>
      </w:r>
      <w:r>
        <w:rPr>
          <w:rFonts w:hint="eastAsia" w:ascii="仿宋" w:hAnsi="仿宋" w:eastAsia="仿宋"/>
          <w:b/>
          <w:sz w:val="32"/>
          <w:szCs w:val="32"/>
        </w:rPr>
        <w:t>条</w:t>
      </w:r>
      <w:r>
        <w:rPr>
          <w:rFonts w:hint="eastAsia" w:ascii="仿宋" w:hAnsi="仿宋" w:eastAsia="仿宋"/>
          <w:sz w:val="32"/>
          <w:szCs w:val="32"/>
        </w:rPr>
        <w:t xml:space="preserve">  省财政厅、省科技厅牵头管理专项资金。</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省财政厅职责如下:</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（一）负责专项资金设立、调整、撤销和申报等事项的审核工作；</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（二）组织专项资金支出预算的编制和执行；</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（三）组织和指导科技部门开展全过程预算绩效管理，根据工作需要开展重点绩效监控、财政评价。</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省科技厅职责如下：</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（一）提出年度科技特派员选认和专项资金补助项目申报指南；</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（二）组织专家评审专项资金补助项目；</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（三）提出专项资金使用分配方案，做好科技特派员专项资金的全过程预算绩效管理。</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w:t>
      </w:r>
      <w:r>
        <w:rPr>
          <w:rFonts w:hint="eastAsia" w:ascii="仿宋" w:hAnsi="仿宋" w:eastAsia="仿宋"/>
          <w:b/>
          <w:sz w:val="32"/>
          <w:szCs w:val="32"/>
          <w:lang w:eastAsia="zh-CN"/>
        </w:rPr>
        <w:t>七</w:t>
      </w:r>
      <w:r>
        <w:rPr>
          <w:rFonts w:hint="eastAsia" w:ascii="仿宋" w:hAnsi="仿宋" w:eastAsia="仿宋"/>
          <w:b/>
          <w:sz w:val="32"/>
          <w:szCs w:val="32"/>
        </w:rPr>
        <w:t>条</w:t>
      </w:r>
      <w:r>
        <w:rPr>
          <w:rFonts w:hint="eastAsia" w:ascii="仿宋" w:hAnsi="仿宋" w:eastAsia="仿宋"/>
          <w:b/>
          <w:sz w:val="32"/>
          <w:szCs w:val="32"/>
          <w:lang w:val="en-US" w:eastAsia="zh-CN"/>
        </w:rPr>
        <w:t xml:space="preserve">  </w:t>
      </w:r>
      <w:r>
        <w:rPr>
          <w:rFonts w:hint="eastAsia" w:ascii="仿宋" w:hAnsi="仿宋" w:eastAsia="仿宋"/>
          <w:sz w:val="32"/>
          <w:szCs w:val="32"/>
        </w:rPr>
        <w:t>设区市、县级财政和科技部门职责如下：</w:t>
      </w:r>
    </w:p>
    <w:p>
      <w:pPr>
        <w:adjustRightInd w:val="0"/>
        <w:snapToGrid w:val="0"/>
        <w:spacing w:line="560" w:lineRule="exact"/>
        <w:rPr>
          <w:rFonts w:hint="eastAsia" w:ascii="仿宋" w:hAnsi="仿宋" w:eastAsia="仿宋"/>
          <w:sz w:val="32"/>
          <w:szCs w:val="32"/>
        </w:rPr>
      </w:pPr>
      <w:r>
        <w:rPr>
          <w:rFonts w:hint="eastAsia" w:ascii="仿宋" w:hAnsi="仿宋" w:eastAsia="仿宋"/>
          <w:sz w:val="32"/>
          <w:szCs w:val="32"/>
        </w:rPr>
        <w:t xml:space="preserve">    设区市财政局职责如下：</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（一）负责及时拨付专项资金；</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（二）会同区市科技局开展专项资金绩效目标审核；</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（三）必要时对绩效目标完成情况进行重点绩效监控、评价，将绩效评价结果作为改进以后年度资金安排的重要依据。</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设区市科技局职责如下：</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（一）负责对申报材料的完整性、真实性进行核查；</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（二）会同同级财政部门及时拨付专项资金；</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（三）预算执行中，加强预算执行和绩效目标运行双监控，对偏离绩效目标的项目采取措施及时纠正；</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（四）组织开展专项资金绩效评价，按规定公开预算绩效目标和绩效评价结果等信息。</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县（市、区）财政职责如下：</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（一）负责及时拨付专项资金；</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（二）会同县（市、区）科技行政主管部门开展专项资金绩效目标审核；</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（三）必要时对绩效目标完成情况进行重点绩效监控、评价，将绩效评价结果作为改进以后年度资金分配安排的重要依据。</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县（市、区）科技行政主管部门职责如下：</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（一）负责对属地内符合条件的省级科技特派员及其</w:t>
      </w:r>
      <w:r>
        <w:rPr>
          <w:rFonts w:hint="eastAsia" w:ascii="仿宋" w:hAnsi="仿宋" w:eastAsia="仿宋" w:cs="仿宋"/>
          <w:kern w:val="0"/>
          <w:sz w:val="32"/>
          <w:szCs w:val="32"/>
        </w:rPr>
        <w:t>牵头承担的</w:t>
      </w:r>
      <w:r>
        <w:rPr>
          <w:rFonts w:hint="eastAsia" w:ascii="仿宋" w:hAnsi="仿宋" w:eastAsia="仿宋"/>
          <w:sz w:val="32"/>
          <w:szCs w:val="32"/>
        </w:rPr>
        <w:t>项目、参与建设的省级星创天地后补助项目申报材料的完整性、真实性进行审核，报设区市科技特派员联席会议办公室；</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（二）预算执行中，加强预算执行和绩效目标运行双监控，对偏离绩效目标的项目采取措施及时纠正；</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（三）组织开展专项资金绩效评价，按规定公开预算绩效目标和绩效评价结果等信息。</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w:t>
      </w:r>
      <w:r>
        <w:rPr>
          <w:rFonts w:hint="eastAsia" w:ascii="仿宋" w:hAnsi="仿宋" w:eastAsia="仿宋"/>
          <w:b/>
          <w:sz w:val="32"/>
          <w:szCs w:val="32"/>
          <w:lang w:eastAsia="zh-CN"/>
        </w:rPr>
        <w:t>八</w:t>
      </w:r>
      <w:r>
        <w:rPr>
          <w:rFonts w:hint="eastAsia" w:ascii="仿宋" w:hAnsi="仿宋" w:eastAsia="仿宋"/>
          <w:b/>
          <w:sz w:val="32"/>
          <w:szCs w:val="32"/>
        </w:rPr>
        <w:t>条</w:t>
      </w:r>
      <w:r>
        <w:rPr>
          <w:rFonts w:hint="eastAsia" w:ascii="仿宋" w:hAnsi="仿宋" w:eastAsia="仿宋"/>
          <w:b/>
          <w:sz w:val="32"/>
          <w:szCs w:val="32"/>
          <w:lang w:val="en-US" w:eastAsia="zh-CN"/>
        </w:rPr>
        <w:t xml:space="preserve">  </w:t>
      </w:r>
      <w:r>
        <w:rPr>
          <w:rFonts w:hint="eastAsia" w:ascii="仿宋" w:hAnsi="仿宋" w:eastAsia="仿宋"/>
          <w:sz w:val="32"/>
          <w:szCs w:val="32"/>
        </w:rPr>
        <w:t xml:space="preserve">专项资金主要用于以下方面： </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（一）对经认定的省级科技特派员，每人每年给予2万元的工作经费。</w:t>
      </w:r>
    </w:p>
    <w:p>
      <w:pPr>
        <w:adjustRightInd w:val="0"/>
        <w:snapToGrid w:val="0"/>
        <w:spacing w:line="560" w:lineRule="exact"/>
        <w:ind w:firstLine="632" w:firstLineChars="200"/>
        <w:rPr>
          <w:rFonts w:hint="eastAsia" w:ascii="仿宋" w:hAnsi="仿宋" w:eastAsia="仿宋"/>
          <w:color w:val="auto"/>
          <w:sz w:val="32"/>
          <w:szCs w:val="32"/>
        </w:rPr>
      </w:pPr>
      <w:r>
        <w:rPr>
          <w:rFonts w:hint="eastAsia" w:ascii="仿宋" w:hAnsi="仿宋" w:eastAsia="仿宋"/>
          <w:color w:val="auto"/>
          <w:sz w:val="32"/>
          <w:szCs w:val="32"/>
        </w:rPr>
        <w:t>（二）对省级科技特派员个人创办、领办的经济实体，或与经济实体已开展实质性技术合作的项目，经评审，给予</w:t>
      </w:r>
      <w:r>
        <w:rPr>
          <w:rFonts w:hint="eastAsia" w:ascii="仿宋" w:hAnsi="仿宋" w:eastAsia="仿宋"/>
          <w:color w:val="auto"/>
          <w:sz w:val="32"/>
          <w:szCs w:val="32"/>
          <w:lang w:eastAsia="zh-CN"/>
        </w:rPr>
        <w:t>最高不超过</w:t>
      </w:r>
      <w:r>
        <w:rPr>
          <w:rFonts w:hint="eastAsia" w:ascii="仿宋" w:hAnsi="仿宋" w:eastAsia="仿宋"/>
          <w:color w:val="auto"/>
          <w:sz w:val="32"/>
          <w:szCs w:val="32"/>
          <w:lang w:val="en-US" w:eastAsia="zh-CN"/>
        </w:rPr>
        <w:t>50万元补助，</w:t>
      </w:r>
      <w:r>
        <w:rPr>
          <w:rFonts w:hint="eastAsia" w:ascii="仿宋" w:hAnsi="仿宋" w:eastAsia="仿宋"/>
          <w:color w:val="auto"/>
          <w:sz w:val="32"/>
          <w:szCs w:val="32"/>
        </w:rPr>
        <w:t>前补助项目经费的管理参照省科技计划项目经费管理办法。</w:t>
      </w:r>
    </w:p>
    <w:p>
      <w:pPr>
        <w:adjustRightInd w:val="0"/>
        <w:snapToGrid w:val="0"/>
        <w:spacing w:line="560" w:lineRule="exact"/>
        <w:ind w:firstLine="632" w:firstLineChars="200"/>
        <w:rPr>
          <w:rFonts w:hint="eastAsia" w:ascii="仿宋" w:hAnsi="仿宋" w:eastAsia="仿宋"/>
          <w:bCs/>
          <w:i/>
          <w:iCs/>
          <w:strike/>
          <w:color w:val="auto"/>
          <w:sz w:val="32"/>
          <w:szCs w:val="32"/>
        </w:rPr>
      </w:pPr>
      <w:r>
        <w:rPr>
          <w:rFonts w:hint="eastAsia" w:ascii="仿宋" w:hAnsi="仿宋" w:eastAsia="仿宋"/>
          <w:color w:val="auto"/>
          <w:sz w:val="32"/>
          <w:szCs w:val="32"/>
        </w:rPr>
        <w:t>（三）对法人或团队科技特派员，围绕县域优势产业或区域特色产业开展全产业链创业和技术服务的项目，经评审，给予</w:t>
      </w:r>
      <w:r>
        <w:rPr>
          <w:rFonts w:hint="eastAsia" w:ascii="仿宋" w:hAnsi="仿宋" w:eastAsia="仿宋"/>
          <w:color w:val="auto"/>
          <w:sz w:val="32"/>
          <w:szCs w:val="32"/>
          <w:lang w:eastAsia="zh-CN"/>
        </w:rPr>
        <w:t>最高不</w:t>
      </w:r>
      <w:r>
        <w:rPr>
          <w:rFonts w:hint="eastAsia" w:ascii="仿宋" w:hAnsi="仿宋" w:eastAsia="仿宋"/>
          <w:color w:val="auto"/>
          <w:sz w:val="32"/>
          <w:szCs w:val="32"/>
        </w:rPr>
        <w:t>超过100万元补助</w:t>
      </w:r>
      <w:r>
        <w:rPr>
          <w:rFonts w:hint="eastAsia" w:ascii="仿宋" w:hAnsi="仿宋" w:eastAsia="仿宋"/>
          <w:color w:val="auto"/>
          <w:sz w:val="32"/>
          <w:szCs w:val="32"/>
          <w:lang w:eastAsia="zh-CN"/>
        </w:rPr>
        <w:t>，</w:t>
      </w:r>
      <w:r>
        <w:rPr>
          <w:rFonts w:hint="eastAsia" w:ascii="仿宋" w:hAnsi="仿宋" w:eastAsia="仿宋"/>
          <w:color w:val="auto"/>
          <w:sz w:val="32"/>
          <w:szCs w:val="32"/>
        </w:rPr>
        <w:t>前补助项目经费的管理参照省科技计划项目经费管理办法。</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（四）对申报的省级星创天地后补助项目，经专家评审，给予不超过50万元一次性经费奖励。</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五）委托科技特派员服务云平台依托单位开展平台安全维护、等保测评、接入第三方平台接口等日常运维工作，为科技特派员依托平台开展线上技术服务、与服务对象开展技术需求精准对接等提供支持和保障，开展科技特派员日常履职情况跟踪、年度考核、数据统计、成果收集等工作。</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（六）为原省级扶贫开发工作重点县等重点帮扶地区开展科技人才培训，组织举办科技特派员培训进修、科技特派员成果推介对接、优秀科技特派员学习宣传、科技特派员制度理论研究和研讨交流等活动。</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sz w:val="32"/>
          <w:szCs w:val="32"/>
        </w:rPr>
        <w:t>（七）组织开展与新时代坚持和深化科技特派员制度相关的其它工作。</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bCs/>
          <w:sz w:val="32"/>
          <w:szCs w:val="32"/>
        </w:rPr>
        <w:t>第</w:t>
      </w:r>
      <w:r>
        <w:rPr>
          <w:rFonts w:hint="eastAsia" w:ascii="仿宋" w:hAnsi="仿宋" w:eastAsia="仿宋"/>
          <w:b/>
          <w:bCs/>
          <w:sz w:val="32"/>
          <w:szCs w:val="32"/>
          <w:lang w:eastAsia="zh-CN"/>
        </w:rPr>
        <w:t>九</w:t>
      </w:r>
      <w:r>
        <w:rPr>
          <w:rFonts w:hint="eastAsia" w:ascii="仿宋" w:hAnsi="仿宋" w:eastAsia="仿宋"/>
          <w:b/>
          <w:bCs/>
          <w:sz w:val="32"/>
          <w:szCs w:val="32"/>
        </w:rPr>
        <w:t>条</w:t>
      </w:r>
      <w:r>
        <w:rPr>
          <w:rFonts w:hint="eastAsia" w:ascii="仿宋" w:hAnsi="仿宋" w:eastAsia="仿宋"/>
          <w:b/>
          <w:bCs/>
          <w:sz w:val="32"/>
          <w:szCs w:val="32"/>
          <w:lang w:val="en-US" w:eastAsia="zh-CN"/>
        </w:rPr>
        <w:t xml:space="preserve">  </w:t>
      </w:r>
      <w:r>
        <w:rPr>
          <w:rFonts w:hint="eastAsia" w:ascii="仿宋" w:hAnsi="仿宋" w:eastAsia="仿宋"/>
          <w:sz w:val="32"/>
          <w:szCs w:val="32"/>
        </w:rPr>
        <w:t>省科技厅制定年度申报指南，明确专项资金支持重点、方向及有关具体要求，并按照政府信息公开的有关要求公开申报条件、申报时限、补助标准等有关内容。省级科技特派员补助项目和省级星创天地后补助项目申报实行网上申报方式。</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w:t>
      </w:r>
      <w:r>
        <w:rPr>
          <w:rFonts w:hint="eastAsia" w:ascii="仿宋" w:hAnsi="仿宋" w:eastAsia="仿宋"/>
          <w:b/>
          <w:sz w:val="32"/>
          <w:szCs w:val="32"/>
          <w:lang w:eastAsia="zh-CN"/>
        </w:rPr>
        <w:t>十</w:t>
      </w:r>
      <w:r>
        <w:rPr>
          <w:rFonts w:hint="eastAsia" w:ascii="仿宋" w:hAnsi="仿宋" w:eastAsia="仿宋"/>
          <w:b/>
          <w:sz w:val="32"/>
          <w:szCs w:val="32"/>
        </w:rPr>
        <w:t>条</w:t>
      </w:r>
      <w:r>
        <w:rPr>
          <w:rFonts w:hint="eastAsia" w:ascii="仿宋" w:hAnsi="仿宋" w:eastAsia="仿宋"/>
          <w:b/>
          <w:sz w:val="32"/>
          <w:szCs w:val="32"/>
          <w:lang w:val="en-US" w:eastAsia="zh-CN"/>
        </w:rPr>
        <w:t xml:space="preserve">  </w:t>
      </w:r>
      <w:r>
        <w:rPr>
          <w:rFonts w:hint="eastAsia" w:ascii="仿宋" w:hAnsi="仿宋" w:eastAsia="仿宋"/>
          <w:sz w:val="32"/>
          <w:szCs w:val="32"/>
        </w:rPr>
        <w:t>省级科技特派员补助项目和省级星创天地后补助项目的评审和立项由省科技厅组织专家评审，并根据评审结果及时下达专项资金。专项资金拨至项目承担单位，后补助项目经费由承担单位统筹安排。</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cs="仿宋"/>
          <w:b/>
          <w:bCs/>
          <w:sz w:val="32"/>
          <w:szCs w:val="32"/>
        </w:rPr>
        <w:t>第十</w:t>
      </w:r>
      <w:r>
        <w:rPr>
          <w:rFonts w:hint="eastAsia" w:ascii="仿宋" w:hAnsi="仿宋" w:eastAsia="仿宋" w:cs="仿宋"/>
          <w:b/>
          <w:bCs/>
          <w:sz w:val="32"/>
          <w:szCs w:val="32"/>
          <w:lang w:eastAsia="zh-CN"/>
        </w:rPr>
        <w:t>一</w:t>
      </w:r>
      <w:r>
        <w:rPr>
          <w:rFonts w:hint="eastAsia" w:ascii="仿宋" w:hAnsi="仿宋" w:eastAsia="仿宋" w:cs="仿宋"/>
          <w:b/>
          <w:bCs/>
          <w:sz w:val="32"/>
          <w:szCs w:val="32"/>
        </w:rPr>
        <w:t>条</w:t>
      </w:r>
      <w:r>
        <w:rPr>
          <w:rFonts w:hint="eastAsia" w:ascii="仿宋" w:hAnsi="仿宋" w:eastAsia="仿宋" w:cs="仿宋"/>
          <w:b/>
          <w:bCs/>
          <w:sz w:val="32"/>
          <w:szCs w:val="32"/>
          <w:lang w:val="en-US" w:eastAsia="zh-CN"/>
        </w:rPr>
        <w:t xml:space="preserve">  </w:t>
      </w:r>
      <w:r>
        <w:rPr>
          <w:rFonts w:hint="eastAsia" w:ascii="仿宋" w:hAnsi="仿宋" w:eastAsia="仿宋"/>
          <w:sz w:val="32"/>
          <w:szCs w:val="32"/>
        </w:rPr>
        <w:t>同一单位或服务同一经济实体的科技特派员，在自愿原则下，可将工作经费统筹用于自选项目；自选项目须符合本办法第</w:t>
      </w:r>
      <w:r>
        <w:rPr>
          <w:rFonts w:hint="eastAsia" w:ascii="仿宋" w:hAnsi="仿宋" w:eastAsia="仿宋"/>
          <w:sz w:val="32"/>
          <w:szCs w:val="32"/>
          <w:lang w:eastAsia="zh-CN"/>
        </w:rPr>
        <w:t>八</w:t>
      </w:r>
      <w:r>
        <w:rPr>
          <w:rFonts w:hint="eastAsia" w:ascii="仿宋" w:hAnsi="仿宋" w:eastAsia="仿宋"/>
          <w:sz w:val="32"/>
          <w:szCs w:val="32"/>
        </w:rPr>
        <w:t>条的要求，经费的管理参照省科技计划项目经费管理。</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第十</w:t>
      </w:r>
      <w:r>
        <w:rPr>
          <w:rFonts w:hint="eastAsia" w:ascii="仿宋" w:hAnsi="仿宋" w:eastAsia="仿宋"/>
          <w:b/>
          <w:sz w:val="32"/>
          <w:szCs w:val="32"/>
          <w:lang w:eastAsia="zh-CN"/>
        </w:rPr>
        <w:t>二</w:t>
      </w:r>
      <w:r>
        <w:rPr>
          <w:rFonts w:hint="eastAsia" w:ascii="仿宋" w:hAnsi="仿宋" w:eastAsia="仿宋"/>
          <w:b/>
          <w:sz w:val="32"/>
          <w:szCs w:val="32"/>
        </w:rPr>
        <w:t>条</w:t>
      </w:r>
      <w:r>
        <w:rPr>
          <w:rFonts w:hint="eastAsia" w:ascii="仿宋" w:hAnsi="仿宋" w:eastAsia="仿宋"/>
          <w:b/>
          <w:sz w:val="32"/>
          <w:szCs w:val="32"/>
          <w:lang w:val="en-US" w:eastAsia="zh-CN"/>
        </w:rPr>
        <w:t xml:space="preserve">  </w:t>
      </w:r>
      <w:r>
        <w:rPr>
          <w:rFonts w:hint="eastAsia" w:ascii="仿宋" w:hAnsi="仿宋" w:eastAsia="仿宋"/>
          <w:sz w:val="32"/>
          <w:szCs w:val="32"/>
        </w:rPr>
        <w:t>市、县财政部门应在收到专项资金1个月内将资金下达到有关单位。</w:t>
      </w:r>
    </w:p>
    <w:p>
      <w:pPr>
        <w:adjustRightInd w:val="0"/>
        <w:snapToGrid w:val="0"/>
        <w:spacing w:line="560" w:lineRule="exact"/>
        <w:ind w:firstLine="632" w:firstLineChars="200"/>
        <w:rPr>
          <w:rFonts w:hint="eastAsia" w:ascii="仿宋" w:hAnsi="仿宋" w:eastAsia="仿宋"/>
          <w:sz w:val="32"/>
          <w:szCs w:val="32"/>
        </w:rPr>
      </w:pPr>
      <w:r>
        <w:rPr>
          <w:rFonts w:hint="eastAsia" w:ascii="仿宋" w:hAnsi="仿宋" w:eastAsia="仿宋"/>
          <w:b/>
          <w:sz w:val="32"/>
          <w:szCs w:val="32"/>
        </w:rPr>
        <w:t>第十</w:t>
      </w:r>
      <w:r>
        <w:rPr>
          <w:rFonts w:hint="eastAsia" w:ascii="仿宋" w:hAnsi="仿宋" w:eastAsia="仿宋"/>
          <w:b/>
          <w:sz w:val="32"/>
          <w:szCs w:val="32"/>
          <w:lang w:eastAsia="zh-CN"/>
        </w:rPr>
        <w:t>三</w:t>
      </w:r>
      <w:r>
        <w:rPr>
          <w:rFonts w:hint="eastAsia" w:ascii="仿宋" w:hAnsi="仿宋" w:eastAsia="仿宋"/>
          <w:b/>
          <w:sz w:val="32"/>
          <w:szCs w:val="32"/>
        </w:rPr>
        <w:t>条</w:t>
      </w:r>
      <w:r>
        <w:rPr>
          <w:rFonts w:hint="eastAsia" w:ascii="仿宋" w:hAnsi="仿宋" w:eastAsia="仿宋"/>
          <w:b/>
          <w:sz w:val="32"/>
          <w:szCs w:val="32"/>
          <w:lang w:val="en-US" w:eastAsia="zh-CN"/>
        </w:rPr>
        <w:t xml:space="preserve">  </w:t>
      </w:r>
      <w:r>
        <w:rPr>
          <w:rFonts w:hint="eastAsia" w:ascii="仿宋" w:hAnsi="仿宋" w:eastAsia="仿宋"/>
          <w:sz w:val="32"/>
          <w:szCs w:val="32"/>
        </w:rPr>
        <w:t>科技特派员工作经费按科技特派员的意愿，可拨付给科技特派员所在单位、服务区域科技主管部门或财务制度健全的服务单位。以对口协作省份为主要服务区域的科技特派员，工作经费拨付给科技特派员所在单位。</w:t>
      </w:r>
    </w:p>
    <w:p>
      <w:pPr>
        <w:adjustRightInd w:val="0"/>
        <w:snapToGrid w:val="0"/>
        <w:spacing w:line="560" w:lineRule="exact"/>
        <w:ind w:firstLine="632" w:firstLineChars="200"/>
        <w:rPr>
          <w:rFonts w:hint="eastAsia" w:ascii="仿宋" w:hAnsi="仿宋" w:eastAsia="仿宋"/>
          <w:sz w:val="32"/>
          <w:szCs w:val="32"/>
          <w:highlight w:val="yellow"/>
        </w:rPr>
      </w:pPr>
      <w:r>
        <w:rPr>
          <w:rFonts w:hint="eastAsia" w:ascii="仿宋" w:hAnsi="仿宋" w:eastAsia="仿宋" w:cs="仿宋"/>
          <w:b/>
          <w:bCs/>
          <w:sz w:val="32"/>
          <w:szCs w:val="32"/>
          <w:highlight w:val="yellow"/>
        </w:rPr>
        <w:t>第十</w:t>
      </w:r>
      <w:r>
        <w:rPr>
          <w:rFonts w:hint="eastAsia" w:ascii="仿宋" w:hAnsi="仿宋" w:eastAsia="仿宋" w:cs="仿宋"/>
          <w:b/>
          <w:bCs/>
          <w:sz w:val="32"/>
          <w:szCs w:val="32"/>
          <w:highlight w:val="yellow"/>
          <w:lang w:eastAsia="zh-CN"/>
        </w:rPr>
        <w:t>四</w:t>
      </w:r>
      <w:r>
        <w:rPr>
          <w:rFonts w:hint="eastAsia" w:ascii="仿宋" w:hAnsi="仿宋" w:eastAsia="仿宋" w:cs="仿宋"/>
          <w:b/>
          <w:bCs/>
          <w:sz w:val="32"/>
          <w:szCs w:val="32"/>
          <w:highlight w:val="yellow"/>
        </w:rPr>
        <w:t>条</w:t>
      </w:r>
      <w:r>
        <w:rPr>
          <w:rFonts w:hint="eastAsia" w:ascii="仿宋" w:hAnsi="仿宋" w:eastAsia="仿宋" w:cs="仿宋"/>
          <w:b/>
          <w:bCs/>
          <w:sz w:val="32"/>
          <w:szCs w:val="32"/>
          <w:highlight w:val="yellow"/>
          <w:lang w:val="en-US" w:eastAsia="zh-CN"/>
        </w:rPr>
        <w:t xml:space="preserve">  </w:t>
      </w:r>
      <w:r>
        <w:rPr>
          <w:rFonts w:hint="eastAsia" w:ascii="仿宋" w:hAnsi="仿宋" w:eastAsia="仿宋" w:cs="仿宋"/>
          <w:sz w:val="32"/>
          <w:szCs w:val="32"/>
          <w:highlight w:val="yellow"/>
        </w:rPr>
        <w:t>工作经费</w:t>
      </w:r>
      <w:r>
        <w:rPr>
          <w:rFonts w:hint="eastAsia" w:ascii="仿宋" w:hAnsi="仿宋" w:eastAsia="仿宋"/>
          <w:sz w:val="32"/>
          <w:szCs w:val="32"/>
          <w:highlight w:val="yellow"/>
        </w:rPr>
        <w:t>主要用于支付科技特派员在技术服务过程中的设备费、材料费、测试化验加工费、交通差旅费用、通信补助、保险和培训费用等。</w:t>
      </w:r>
    </w:p>
    <w:p>
      <w:pPr>
        <w:adjustRightInd w:val="0"/>
        <w:snapToGrid w:val="0"/>
        <w:spacing w:line="560" w:lineRule="exact"/>
        <w:ind w:firstLine="632" w:firstLineChars="200"/>
        <w:rPr>
          <w:rFonts w:hint="eastAsia" w:ascii="仿宋" w:hAnsi="仿宋" w:eastAsia="仿宋"/>
          <w:color w:val="auto"/>
          <w:sz w:val="32"/>
          <w:szCs w:val="32"/>
        </w:rPr>
      </w:pPr>
      <w:r>
        <w:rPr>
          <w:rFonts w:hint="eastAsia" w:ascii="仿宋" w:hAnsi="仿宋" w:eastAsia="仿宋" w:cs="仿宋"/>
          <w:b/>
          <w:bCs/>
          <w:sz w:val="32"/>
          <w:szCs w:val="32"/>
          <w:highlight w:val="yellow"/>
        </w:rPr>
        <w:t>第十</w:t>
      </w:r>
      <w:r>
        <w:rPr>
          <w:rFonts w:hint="eastAsia" w:ascii="仿宋" w:hAnsi="仿宋" w:eastAsia="仿宋" w:cs="仿宋"/>
          <w:b/>
          <w:bCs/>
          <w:sz w:val="32"/>
          <w:szCs w:val="32"/>
          <w:highlight w:val="yellow"/>
          <w:lang w:eastAsia="zh-CN"/>
        </w:rPr>
        <w:t>五</w:t>
      </w:r>
      <w:r>
        <w:rPr>
          <w:rFonts w:hint="eastAsia" w:ascii="仿宋" w:hAnsi="仿宋" w:eastAsia="仿宋" w:cs="仿宋"/>
          <w:b/>
          <w:bCs/>
          <w:sz w:val="32"/>
          <w:szCs w:val="32"/>
          <w:highlight w:val="yellow"/>
        </w:rPr>
        <w:t>条</w:t>
      </w:r>
      <w:r>
        <w:rPr>
          <w:rFonts w:hint="eastAsia" w:ascii="仿宋" w:hAnsi="仿宋" w:eastAsia="仿宋" w:cs="仿宋"/>
          <w:b/>
          <w:bCs/>
          <w:sz w:val="32"/>
          <w:szCs w:val="32"/>
          <w:highlight w:val="yellow"/>
          <w:lang w:val="en-US" w:eastAsia="zh-CN"/>
        </w:rPr>
        <w:t xml:space="preserve">  </w:t>
      </w:r>
      <w:r>
        <w:rPr>
          <w:rFonts w:hint="eastAsia" w:ascii="仿宋" w:hAnsi="仿宋" w:eastAsia="仿宋"/>
          <w:sz w:val="32"/>
          <w:szCs w:val="32"/>
          <w:highlight w:val="yellow"/>
        </w:rPr>
        <w:t>工作经费既可按照第</w:t>
      </w:r>
      <w:r>
        <w:rPr>
          <w:rFonts w:hint="eastAsia" w:ascii="仿宋" w:hAnsi="仿宋" w:eastAsia="仿宋"/>
          <w:sz w:val="32"/>
          <w:szCs w:val="32"/>
          <w:highlight w:val="yellow"/>
          <w:lang w:eastAsia="zh-CN"/>
        </w:rPr>
        <w:t>十四</w:t>
      </w:r>
      <w:r>
        <w:rPr>
          <w:rFonts w:hint="eastAsia" w:ascii="仿宋" w:hAnsi="仿宋" w:eastAsia="仿宋"/>
          <w:sz w:val="32"/>
          <w:szCs w:val="32"/>
          <w:highlight w:val="yellow"/>
        </w:rPr>
        <w:t>条规定的范围据实报销，也可选择按工作经费50%实行年度包干、其余50%按规定报销。包干经费用于科技特派员交通、通讯和生活津贴补助。</w:t>
      </w:r>
      <w:r>
        <w:rPr>
          <w:rFonts w:hint="eastAsia" w:ascii="仿宋" w:hAnsi="仿宋" w:eastAsia="仿宋"/>
          <w:color w:val="auto"/>
          <w:sz w:val="32"/>
          <w:szCs w:val="32"/>
          <w:highlight w:val="yellow"/>
          <w:lang w:eastAsia="zh-CN"/>
        </w:rPr>
        <w:t>选认后在</w:t>
      </w:r>
      <w:r>
        <w:rPr>
          <w:rFonts w:hint="eastAsia" w:ascii="仿宋" w:hAnsi="仿宋" w:eastAsia="仿宋"/>
          <w:color w:val="auto"/>
          <w:sz w:val="32"/>
          <w:szCs w:val="32"/>
          <w:lang w:eastAsia="zh-CN"/>
        </w:rPr>
        <w:drawing>
          <wp:anchor distT="0" distB="0" distL="114300" distR="114300" simplePos="0" relativeHeight="251660288" behindDoc="0" locked="0" layoutInCell="1" allowOverlap="1">
            <wp:simplePos x="0" y="0"/>
            <wp:positionH relativeFrom="page">
              <wp:posOffset>4598670</wp:posOffset>
            </wp:positionH>
            <wp:positionV relativeFrom="page">
              <wp:posOffset>9622790</wp:posOffset>
            </wp:positionV>
            <wp:extent cx="1892300" cy="444500"/>
            <wp:effectExtent l="0" t="0" r="12700" b="12700"/>
            <wp:wrapNone/>
            <wp:docPr id="6" name="barcode" descr="9011001230012431"/>
            <wp:cNvGraphicFramePr/>
            <a:graphic xmlns:a="http://schemas.openxmlformats.org/drawingml/2006/main">
              <a:graphicData uri="http://schemas.openxmlformats.org/drawingml/2006/picture">
                <pic:pic xmlns:pic="http://schemas.openxmlformats.org/drawingml/2006/picture">
                  <pic:nvPicPr>
                    <pic:cNvPr id="6" name="barcode" descr="9011001230012431"/>
                    <pic:cNvPicPr/>
                  </pic:nvPicPr>
                  <pic:blipFill>
                    <a:blip r:embed="rId10"/>
                    <a:stretch>
                      <a:fillRect/>
                    </a:stretch>
                  </pic:blipFill>
                  <pic:spPr>
                    <a:xfrm>
                      <a:off x="0" y="0"/>
                      <a:ext cx="1892300" cy="444500"/>
                    </a:xfrm>
                    <a:prstGeom prst="rect">
                      <a:avLst/>
                    </a:prstGeom>
                  </pic:spPr>
                </pic:pic>
              </a:graphicData>
            </a:graphic>
          </wp:anchor>
        </w:drawing>
      </w:r>
      <w:r>
        <w:rPr>
          <w:rFonts w:hint="eastAsia" w:ascii="仿宋" w:hAnsi="仿宋" w:eastAsia="仿宋"/>
          <w:color w:val="auto"/>
          <w:sz w:val="32"/>
          <w:szCs w:val="32"/>
          <w:lang w:eastAsia="zh-CN"/>
        </w:rPr>
        <w:t>工作时间、表现和业绩等方面符合要求的省级科技特派员可直接领取包干经费，省属单位省级科技特派员由省科技厅会同派出单位审核，设区市以下省级科技特派员由设区市科技管理部门会同派出单位审核</w:t>
      </w:r>
      <w:r>
        <w:rPr>
          <w:rFonts w:hint="eastAsia" w:ascii="仿宋" w:hAnsi="仿宋" w:eastAsia="仿宋"/>
          <w:color w:val="auto"/>
          <w:sz w:val="32"/>
          <w:szCs w:val="32"/>
        </w:rPr>
        <w:t>。</w:t>
      </w:r>
    </w:p>
    <w:p>
      <w:pPr>
        <w:adjustRightInd w:val="0"/>
        <w:snapToGrid w:val="0"/>
        <w:spacing w:line="560" w:lineRule="exact"/>
        <w:ind w:firstLine="632" w:firstLineChars="200"/>
        <w:rPr>
          <w:rFonts w:hint="eastAsia" w:ascii="仿宋" w:hAnsi="仿宋" w:eastAsia="仿宋"/>
          <w:b/>
          <w:sz w:val="32"/>
          <w:szCs w:val="32"/>
          <w:u w:val="single"/>
        </w:rPr>
      </w:pPr>
      <w:r>
        <w:rPr>
          <w:rFonts w:hint="eastAsia" w:ascii="仿宋" w:hAnsi="仿宋" w:eastAsia="仿宋"/>
          <w:b/>
          <w:sz w:val="32"/>
          <w:szCs w:val="32"/>
        </w:rPr>
        <w:t>第十</w:t>
      </w:r>
      <w:r>
        <w:rPr>
          <w:rFonts w:hint="eastAsia" w:ascii="仿宋" w:hAnsi="仿宋" w:eastAsia="仿宋"/>
          <w:b/>
          <w:sz w:val="32"/>
          <w:szCs w:val="32"/>
          <w:lang w:eastAsia="zh-CN"/>
        </w:rPr>
        <w:t>六</w:t>
      </w:r>
      <w:r>
        <w:rPr>
          <w:rFonts w:hint="eastAsia" w:ascii="仿宋" w:hAnsi="仿宋" w:eastAsia="仿宋"/>
          <w:b/>
          <w:sz w:val="32"/>
          <w:szCs w:val="32"/>
        </w:rPr>
        <w:t>条</w:t>
      </w:r>
      <w:r>
        <w:rPr>
          <w:rFonts w:hint="eastAsia" w:ascii="仿宋" w:hAnsi="仿宋" w:eastAsia="仿宋"/>
          <w:b/>
          <w:sz w:val="32"/>
          <w:szCs w:val="32"/>
          <w:lang w:val="en-US" w:eastAsia="zh-CN"/>
        </w:rPr>
        <w:t xml:space="preserve">  </w:t>
      </w:r>
      <w:r>
        <w:rPr>
          <w:rFonts w:hint="eastAsia" w:ascii="仿宋" w:hAnsi="仿宋" w:eastAsia="仿宋"/>
          <w:sz w:val="32"/>
          <w:szCs w:val="32"/>
        </w:rPr>
        <w:t>获得专项资金补助的个人和单位，应当主动接受财政、审计等部门的监督检查，严格执行财务规章制度和会计核算办法。</w:t>
      </w:r>
    </w:p>
    <w:p>
      <w:pPr>
        <w:widowControl/>
        <w:pBdr>
          <w:bottom w:val="single" w:color="E7E7EB" w:sz="6" w:space="31"/>
        </w:pBdr>
        <w:adjustRightInd w:val="0"/>
        <w:snapToGrid w:val="0"/>
        <w:spacing w:line="560" w:lineRule="exact"/>
        <w:ind w:firstLine="632" w:firstLineChars="200"/>
        <w:jc w:val="left"/>
        <w:outlineLvl w:val="1"/>
        <w:rPr>
          <w:rFonts w:hint="eastAsia" w:ascii="仿宋" w:hAnsi="仿宋" w:eastAsia="仿宋"/>
          <w:sz w:val="32"/>
          <w:szCs w:val="32"/>
        </w:rPr>
      </w:pPr>
      <w:r>
        <w:rPr>
          <w:rFonts w:hint="eastAsia" w:ascii="仿宋" w:hAnsi="仿宋" w:eastAsia="仿宋"/>
          <w:b/>
          <w:sz w:val="32"/>
          <w:szCs w:val="32"/>
        </w:rPr>
        <w:t>第十</w:t>
      </w:r>
      <w:r>
        <w:rPr>
          <w:rFonts w:hint="eastAsia" w:ascii="仿宋" w:hAnsi="仿宋" w:eastAsia="仿宋"/>
          <w:b/>
          <w:sz w:val="32"/>
          <w:szCs w:val="32"/>
          <w:lang w:eastAsia="zh-CN"/>
        </w:rPr>
        <w:t>七</w:t>
      </w:r>
      <w:r>
        <w:rPr>
          <w:rFonts w:hint="eastAsia" w:ascii="仿宋" w:hAnsi="仿宋" w:eastAsia="仿宋"/>
          <w:b/>
          <w:sz w:val="32"/>
          <w:szCs w:val="32"/>
        </w:rPr>
        <w:t>条</w:t>
      </w:r>
      <w:r>
        <w:rPr>
          <w:rFonts w:hint="eastAsia" w:ascii="仿宋" w:hAnsi="仿宋" w:eastAsia="仿宋"/>
          <w:b/>
          <w:sz w:val="32"/>
          <w:szCs w:val="32"/>
          <w:lang w:val="en-US" w:eastAsia="zh-CN"/>
        </w:rPr>
        <w:t xml:space="preserve">  </w:t>
      </w:r>
      <w:r>
        <w:rPr>
          <w:rFonts w:hint="eastAsia" w:ascii="仿宋" w:hAnsi="仿宋" w:eastAsia="仿宋"/>
          <w:sz w:val="32"/>
          <w:szCs w:val="32"/>
        </w:rPr>
        <w:t>专项资金使用管理中存在虚报、冒领、截留、挪用等违法行为的，除责令将资金归还原有渠道或收回财政外，应当按照《预算法》《财政违法行为处罚处分条</w:t>
      </w:r>
      <w:bookmarkStart w:id="19" w:name="_GoBack"/>
      <w:bookmarkEnd w:id="19"/>
      <w:r>
        <w:rPr>
          <w:rFonts w:hint="eastAsia" w:ascii="仿宋" w:hAnsi="仿宋" w:eastAsia="仿宋"/>
          <w:sz w:val="32"/>
          <w:szCs w:val="32"/>
        </w:rPr>
        <w:t>例》等有关规定对相关部门和单位予以处理，并依法追究相关责任人的责任。构成犯罪的，依法移送司法机关。</w:t>
      </w:r>
    </w:p>
    <w:p>
      <w:pPr>
        <w:widowControl/>
        <w:pBdr>
          <w:bottom w:val="single" w:color="E7E7EB" w:sz="6" w:space="31"/>
        </w:pBdr>
        <w:adjustRightInd w:val="0"/>
        <w:snapToGrid w:val="0"/>
        <w:spacing w:line="560" w:lineRule="exact"/>
        <w:ind w:firstLine="632" w:firstLineChars="200"/>
        <w:jc w:val="left"/>
        <w:outlineLvl w:val="1"/>
        <w:rPr>
          <w:rFonts w:hint="eastAsia" w:ascii="仿宋" w:hAnsi="仿宋" w:eastAsia="仿宋"/>
          <w:sz w:val="32"/>
          <w:szCs w:val="32"/>
        </w:rPr>
      </w:pPr>
      <w:r>
        <w:rPr>
          <w:rFonts w:hint="eastAsia" w:ascii="仿宋" w:hAnsi="仿宋" w:eastAsia="仿宋"/>
          <w:b/>
          <w:bCs/>
          <w:sz w:val="32"/>
          <w:szCs w:val="32"/>
        </w:rPr>
        <w:t>第十</w:t>
      </w:r>
      <w:r>
        <w:rPr>
          <w:rFonts w:hint="eastAsia" w:ascii="仿宋" w:hAnsi="仿宋" w:eastAsia="仿宋"/>
          <w:b/>
          <w:bCs/>
          <w:sz w:val="32"/>
          <w:szCs w:val="32"/>
          <w:lang w:eastAsia="zh-CN"/>
        </w:rPr>
        <w:t>八</w:t>
      </w:r>
      <w:r>
        <w:rPr>
          <w:rFonts w:hint="eastAsia" w:ascii="仿宋" w:hAnsi="仿宋" w:eastAsia="仿宋"/>
          <w:b/>
          <w:bCs/>
          <w:sz w:val="32"/>
          <w:szCs w:val="32"/>
        </w:rPr>
        <w:t>条</w:t>
      </w:r>
      <w:r>
        <w:rPr>
          <w:rFonts w:hint="eastAsia" w:ascii="仿宋" w:hAnsi="仿宋" w:eastAsia="仿宋"/>
          <w:b/>
          <w:bCs/>
          <w:sz w:val="32"/>
          <w:szCs w:val="32"/>
          <w:lang w:val="en-US" w:eastAsia="zh-CN"/>
        </w:rPr>
        <w:t xml:space="preserve">  </w:t>
      </w:r>
      <w:r>
        <w:rPr>
          <w:rFonts w:hint="eastAsia" w:ascii="仿宋" w:hAnsi="仿宋" w:eastAsia="仿宋"/>
          <w:sz w:val="32"/>
          <w:szCs w:val="32"/>
        </w:rPr>
        <w:t>本办法由省财政厅、省科技厅、省发改委、省农业农村厅负责解释。</w:t>
      </w:r>
    </w:p>
    <w:p>
      <w:pPr>
        <w:widowControl/>
        <w:pBdr>
          <w:bottom w:val="single" w:color="E7E7EB" w:sz="6" w:space="31"/>
        </w:pBdr>
        <w:adjustRightInd w:val="0"/>
        <w:snapToGrid w:val="0"/>
        <w:spacing w:line="560" w:lineRule="exact"/>
        <w:ind w:firstLine="632" w:firstLineChars="200"/>
        <w:jc w:val="left"/>
        <w:outlineLvl w:val="1"/>
        <w:rPr>
          <w:rFonts w:hint="default" w:ascii="仿宋" w:hAnsi="仿宋" w:eastAsia="仿宋" w:cs="仿宋"/>
          <w:color w:val="000000"/>
          <w:sz w:val="32"/>
          <w:szCs w:val="32"/>
          <w:lang w:val="en-US"/>
        </w:rPr>
      </w:pPr>
      <w:r>
        <w:rPr>
          <w:rFonts w:hint="eastAsia" w:ascii="仿宋" w:hAnsi="仿宋" w:eastAsia="仿宋"/>
          <w:b/>
          <w:sz w:val="32"/>
          <w:szCs w:val="32"/>
        </w:rPr>
        <w:t>第十</w:t>
      </w:r>
      <w:r>
        <w:rPr>
          <w:rFonts w:hint="eastAsia" w:ascii="仿宋" w:hAnsi="仿宋" w:eastAsia="仿宋"/>
          <w:b/>
          <w:sz w:val="32"/>
          <w:szCs w:val="32"/>
          <w:lang w:eastAsia="zh-CN"/>
        </w:rPr>
        <w:t>九</w:t>
      </w:r>
      <w:r>
        <w:rPr>
          <w:rFonts w:hint="eastAsia" w:ascii="仿宋" w:hAnsi="仿宋" w:eastAsia="仿宋"/>
          <w:b/>
          <w:sz w:val="32"/>
          <w:szCs w:val="32"/>
        </w:rPr>
        <w:t>条</w:t>
      </w:r>
      <w:r>
        <w:rPr>
          <w:rFonts w:hint="eastAsia" w:ascii="仿宋" w:hAnsi="仿宋" w:eastAsia="仿宋"/>
          <w:b/>
          <w:sz w:val="32"/>
          <w:szCs w:val="32"/>
          <w:lang w:val="en-US" w:eastAsia="zh-CN"/>
        </w:rPr>
        <w:t xml:space="preserve">  </w:t>
      </w:r>
      <w:r>
        <w:rPr>
          <w:rFonts w:hint="eastAsia" w:ascii="仿宋" w:hAnsi="仿宋" w:eastAsia="仿宋" w:cs="仿宋"/>
          <w:color w:val="auto"/>
          <w:sz w:val="32"/>
          <w:szCs w:val="32"/>
        </w:rPr>
        <w:t>本办法自</w:t>
      </w:r>
      <w:r>
        <w:rPr>
          <w:rFonts w:hint="eastAsia" w:ascii="仿宋" w:hAnsi="仿宋" w:eastAsia="仿宋" w:cs="仿宋"/>
          <w:color w:val="auto"/>
          <w:sz w:val="32"/>
          <w:szCs w:val="32"/>
          <w:lang w:val="en-US" w:eastAsia="zh-CN"/>
        </w:rPr>
        <w:t>印发日</w:t>
      </w:r>
      <w:r>
        <w:rPr>
          <w:rFonts w:hint="eastAsia" w:ascii="仿宋" w:hAnsi="仿宋" w:eastAsia="仿宋" w:cs="仿宋"/>
          <w:color w:val="auto"/>
          <w:sz w:val="32"/>
          <w:szCs w:val="32"/>
        </w:rPr>
        <w:t>起施行</w:t>
      </w:r>
      <w:r>
        <w:rPr>
          <w:rFonts w:hint="eastAsia" w:ascii="仿宋" w:hAnsi="仿宋" w:eastAsia="仿宋" w:cs="仿宋"/>
          <w:color w:val="auto"/>
          <w:sz w:val="32"/>
          <w:szCs w:val="32"/>
          <w:lang w:eastAsia="zh-CN"/>
        </w:rPr>
        <w:t>，有效期至</w:t>
      </w:r>
      <w:r>
        <w:rPr>
          <w:rFonts w:hint="eastAsia" w:ascii="仿宋" w:hAnsi="仿宋" w:eastAsia="仿宋" w:cs="仿宋"/>
          <w:color w:val="auto"/>
          <w:sz w:val="32"/>
          <w:szCs w:val="32"/>
          <w:lang w:val="en-US" w:eastAsia="zh-CN"/>
        </w:rPr>
        <w:t>2025年12月31日</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原《福建省财政厅</w:t>
      </w:r>
      <w:r>
        <w:rPr>
          <w:rFonts w:hint="eastAsia" w:ascii="仿宋" w:hAnsi="仿宋" w:eastAsia="仿宋" w:cs="仿宋"/>
          <w:color w:val="auto"/>
          <w:sz w:val="32"/>
          <w:szCs w:val="32"/>
          <w:lang w:val="en-US" w:eastAsia="zh-CN"/>
        </w:rPr>
        <w:t xml:space="preserve"> 福建省科学技术厅 福建省发展和改革委员会 福建省农业农村厅</w:t>
      </w:r>
      <w:r>
        <w:rPr>
          <w:rFonts w:hint="eastAsia" w:ascii="仿宋" w:hAnsi="仿宋" w:eastAsia="仿宋" w:cs="仿宋"/>
          <w:color w:val="auto"/>
          <w:sz w:val="32"/>
          <w:szCs w:val="32"/>
          <w:lang w:eastAsia="zh-CN"/>
        </w:rPr>
        <w:t>关于印发福建省科技特派员专项资金管理办法的通知》（闽财教〔</w:t>
      </w:r>
      <w:r>
        <w:rPr>
          <w:rFonts w:hint="eastAsia" w:ascii="仿宋" w:hAnsi="仿宋" w:eastAsia="仿宋" w:cs="仿宋"/>
          <w:color w:val="auto"/>
          <w:sz w:val="32"/>
          <w:szCs w:val="32"/>
          <w:lang w:val="en-US" w:eastAsia="zh-CN"/>
        </w:rPr>
        <w:t>2020</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12号</w:t>
      </w:r>
      <w:r>
        <w:rPr>
          <w:rFonts w:hint="eastAsia" w:ascii="仿宋" w:hAnsi="仿宋" w:eastAsia="仿宋" w:cs="仿宋"/>
          <w:color w:val="auto"/>
          <w:sz w:val="32"/>
          <w:szCs w:val="32"/>
          <w:lang w:eastAsia="zh-CN"/>
        </w:rPr>
        <w:t>）同时废止。</w:t>
      </w:r>
      <w:bookmarkStart w:id="14" w:name="PO_fyz"/>
      <w:bookmarkEnd w:id="14"/>
      <w:bookmarkStart w:id="15" w:name="PO_ffj"/>
      <w:bookmarkEnd w:id="15"/>
      <w:r>
        <w:rPr>
          <w:rFonts w:hint="eastAsia" w:ascii="仿宋" w:hAnsi="仿宋" w:eastAsia="仿宋" w:cs="仿宋"/>
          <w:color w:val="000000"/>
          <w:sz w:val="32"/>
          <w:szCs w:val="32"/>
        </w:rPr>
        <w:t>　　</w:t>
      </w:r>
      <w:bookmarkStart w:id="16" w:name="PO_ffz"/>
      <w:r>
        <w:rPr>
          <w:rFonts w:hint="default" w:ascii="仿宋" w:hAnsi="仿宋" w:eastAsia="仿宋" w:cs="仿宋"/>
          <w:color w:val="000000"/>
          <w:sz w:val="32"/>
          <w:szCs w:val="32"/>
          <w:lang w:val="en-US"/>
        </w:rPr>
        <w:t xml:space="preserve"> </w:t>
      </w:r>
      <w:bookmarkEnd w:id="16"/>
    </w:p>
    <w:tbl>
      <w:tblPr>
        <w:tblStyle w:val="6"/>
        <w:tblpPr w:leftFromText="180" w:rightFromText="180" w:horzAnchor="margin" w:tblpXSpec="center" w:tblpYSpec="bottom"/>
        <w:tblOverlap w:val="never"/>
        <w:tblW w:w="8643" w:type="dxa"/>
        <w:tblInd w:w="0" w:type="dxa"/>
        <w:tblLayout w:type="fixed"/>
        <w:tblCellMar>
          <w:top w:w="0" w:type="dxa"/>
          <w:left w:w="0" w:type="dxa"/>
          <w:bottom w:w="0" w:type="dxa"/>
          <w:right w:w="0" w:type="dxa"/>
        </w:tblCellMar>
      </w:tblPr>
      <w:tblGrid>
        <w:gridCol w:w="4220"/>
        <w:gridCol w:w="4423"/>
      </w:tblGrid>
      <w:tr>
        <w:tblPrEx>
          <w:tblCellMar>
            <w:top w:w="0" w:type="dxa"/>
            <w:left w:w="0" w:type="dxa"/>
            <w:bottom w:w="0" w:type="dxa"/>
            <w:right w:w="0" w:type="dxa"/>
          </w:tblCellMar>
        </w:tblPrEx>
        <w:trPr>
          <w:trHeight w:val="567" w:hRule="atLeast"/>
        </w:trPr>
        <w:tc>
          <w:tcPr>
            <w:tcW w:w="8643" w:type="dxa"/>
            <w:gridSpan w:val="2"/>
            <w:tcBorders>
              <w:top w:val="nil"/>
              <w:left w:val="nil"/>
              <w:bottom w:val="single" w:color="auto" w:sz="12" w:space="0"/>
              <w:right w:val="nil"/>
            </w:tcBorders>
            <w:vAlign w:val="center"/>
          </w:tcPr>
          <w:p>
            <w:pPr>
              <w:spacing w:after="100" w:afterAutospacing="1" w:line="460" w:lineRule="exact"/>
              <w:ind w:right="205" w:rightChars="65" w:firstLine="276" w:firstLineChars="100"/>
              <w:textAlignment w:val="bottom"/>
              <w:rPr>
                <w:rFonts w:hint="default" w:ascii="仿宋" w:hAnsi="仿宋" w:eastAsia="仿宋" w:cs="仿宋_GB2312"/>
                <w:color w:val="000000"/>
                <w:sz w:val="28"/>
                <w:szCs w:val="28"/>
                <w:lang w:val="en-US"/>
              </w:rPr>
            </w:pPr>
            <w:r>
              <w:rPr>
                <w:rFonts w:hint="eastAsia" w:ascii="仿宋" w:hAnsi="仿宋" w:eastAsia="仿宋" w:cs="仿宋_GB2312"/>
                <w:color w:val="000000"/>
                <w:sz w:val="28"/>
                <w:szCs w:val="28"/>
              </w:rPr>
              <w:t>信息公开类型：</w:t>
            </w:r>
            <w:bookmarkStart w:id="17" w:name="PO_fgklx"/>
            <w:r>
              <w:rPr>
                <w:rFonts w:hint="default" w:ascii="仿宋" w:hAnsi="仿宋" w:eastAsia="仿宋" w:cs="仿宋_GB2312"/>
                <w:color w:val="000000"/>
                <w:sz w:val="28"/>
                <w:szCs w:val="28"/>
                <w:lang w:val="en-US"/>
              </w:rPr>
              <w:t>主动公开</w:t>
            </w:r>
            <w:bookmarkEnd w:id="17"/>
          </w:p>
        </w:tc>
      </w:tr>
      <w:tr>
        <w:tblPrEx>
          <w:tblCellMar>
            <w:top w:w="0" w:type="dxa"/>
            <w:left w:w="0" w:type="dxa"/>
            <w:bottom w:w="0" w:type="dxa"/>
            <w:right w:w="0" w:type="dxa"/>
          </w:tblCellMar>
        </w:tblPrEx>
        <w:trPr>
          <w:trHeight w:val="510" w:hRule="atLeast"/>
        </w:trPr>
        <w:tc>
          <w:tcPr>
            <w:tcW w:w="4220" w:type="dxa"/>
            <w:tcBorders>
              <w:top w:val="single" w:color="auto" w:sz="8" w:space="0"/>
              <w:left w:val="nil"/>
              <w:bottom w:val="single" w:color="auto" w:sz="12" w:space="0"/>
              <w:right w:val="nil"/>
            </w:tcBorders>
            <w:vAlign w:val="center"/>
          </w:tcPr>
          <w:p>
            <w:pPr>
              <w:spacing w:after="100" w:line="460" w:lineRule="exact"/>
              <w:ind w:right="205" w:rightChars="65" w:firstLine="276" w:firstLineChars="100"/>
              <w:rPr>
                <w:rFonts w:ascii="仿宋" w:hAnsi="仿宋" w:eastAsia="仿宋"/>
                <w:color w:val="000000"/>
                <w:sz w:val="28"/>
                <w:szCs w:val="28"/>
              </w:rPr>
            </w:pPr>
            <w:r>
              <w:rPr>
                <w:rFonts w:hint="eastAsia" w:ascii="仿宋" w:hAnsi="仿宋" w:eastAsia="仿宋" w:cs="仿宋_GB2312"/>
                <w:color w:val="000000"/>
                <w:sz w:val="28"/>
                <w:szCs w:val="28"/>
              </w:rPr>
              <w:t>福建省财政厅办公室</w:t>
            </w:r>
          </w:p>
        </w:tc>
        <w:tc>
          <w:tcPr>
            <w:tcW w:w="4423" w:type="dxa"/>
            <w:tcBorders>
              <w:top w:val="single" w:color="auto" w:sz="8" w:space="0"/>
              <w:left w:val="nil"/>
              <w:bottom w:val="single" w:color="auto" w:sz="12" w:space="0"/>
              <w:right w:val="nil"/>
            </w:tcBorders>
            <w:vAlign w:val="center"/>
          </w:tcPr>
          <w:p>
            <w:pPr>
              <w:wordWrap w:val="0"/>
              <w:spacing w:after="100" w:afterAutospacing="1" w:line="460" w:lineRule="exact"/>
              <w:ind w:right="205" w:rightChars="65" w:firstLine="1104" w:firstLineChars="400"/>
              <w:jc w:val="both"/>
              <w:textAlignment w:val="bottom"/>
              <w:rPr>
                <w:rFonts w:ascii="仿宋_GB2312" w:eastAsia="仿宋_GB2312"/>
                <w:color w:val="000000"/>
                <w:sz w:val="28"/>
                <w:szCs w:val="28"/>
              </w:rPr>
            </w:pPr>
            <w:bookmarkStart w:id="18" w:name="PO_fyfrq"/>
            <w:r>
              <w:rPr>
                <w:rFonts w:ascii="仿宋" w:hAnsi="仿宋" w:eastAsia="仿宋" w:cs="仿宋_GB2312"/>
                <w:color w:val="000000"/>
                <w:sz w:val="28"/>
                <w:szCs w:val="28"/>
                <w:lang w:val="en-US"/>
              </w:rPr>
              <w:t>2023年7月</w:t>
            </w:r>
            <w:r>
              <w:rPr>
                <w:rFonts w:hint="eastAsia" w:ascii="仿宋" w:hAnsi="仿宋" w:eastAsia="仿宋" w:cs="仿宋_GB2312"/>
                <w:color w:val="000000"/>
                <w:sz w:val="28"/>
                <w:szCs w:val="28"/>
                <w:lang w:val="en-US" w:eastAsia="zh-CN"/>
              </w:rPr>
              <w:t>28</w:t>
            </w:r>
            <w:r>
              <w:rPr>
                <w:rFonts w:ascii="仿宋" w:hAnsi="仿宋" w:eastAsia="仿宋" w:cs="仿宋_GB2312"/>
                <w:color w:val="000000"/>
                <w:sz w:val="28"/>
                <w:szCs w:val="28"/>
                <w:lang w:val="en-US"/>
              </w:rPr>
              <w:t>日</w:t>
            </w:r>
            <w:bookmarkEnd w:id="18"/>
            <w:r>
              <w:rPr>
                <w:rFonts w:hint="eastAsia" w:ascii="仿宋" w:hAnsi="仿宋" w:eastAsia="仿宋" w:cs="仿宋_GB2312"/>
                <w:color w:val="000000"/>
                <w:sz w:val="28"/>
                <w:szCs w:val="28"/>
              </w:rPr>
              <w:t>印发</w:t>
            </w:r>
            <w:r>
              <w:rPr>
                <w:rFonts w:hint="eastAsia" w:ascii="仿宋_GB2312" w:eastAsia="仿宋_GB2312" w:cs="仿宋_GB2312"/>
                <w:color w:val="000000"/>
                <w:sz w:val="28"/>
                <w:szCs w:val="28"/>
              </w:rPr>
              <w:t xml:space="preserve">  </w:t>
            </w:r>
          </w:p>
        </w:tc>
      </w:tr>
    </w:tbl>
    <w:p>
      <w:pPr>
        <w:rPr>
          <w:rFonts w:hint="eastAsia" w:ascii="仿宋" w:hAnsi="仿宋" w:eastAsia="仿宋" w:cs="仿宋"/>
          <w:sz w:val="32"/>
          <w:szCs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992" w:gutter="0"/>
      <w:pgNumType w:fmt="numberInDash"/>
      <w:cols w:space="0" w:num="1"/>
      <w:titlePg/>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ind w:right="360"/>
      <w:jc w:val="right"/>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ind w:right="640" w:rightChars="20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320" w:leftChars="100" w:right="0" w:firstLine="0" w:firstLineChars="0"/>
      <w:rPr>
        <w:rFonts w:hint="eastAsia"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4"/>
                      <w:ind w:left="320" w:lef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left="320" w:leftChars="100" w:right="0" w:firstLine="0" w:firstLineChars="0"/>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ind w:left="320" w:leftChars="100" w:right="0" w:firstLine="0" w:firstLineChars="0"/>
                    </w:pP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63360" behindDoc="0" locked="0" layoutInCell="1" allowOverlap="1">
              <wp:simplePos x="0" y="0"/>
              <wp:positionH relativeFrom="page">
                <wp:posOffset>742950</wp:posOffset>
              </wp:positionH>
              <wp:positionV relativeFrom="paragraph">
                <wp:posOffset>-177165</wp:posOffset>
              </wp:positionV>
              <wp:extent cx="6120130" cy="0"/>
              <wp:effectExtent l="0" t="31750" r="6350" b="44450"/>
              <wp:wrapNone/>
              <wp:docPr id="5" name="直接连接符 5"/>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rgbClr val="FFFFFF"/>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8.5pt;margin-top:-13.95pt;height:0pt;width:481.9pt;mso-position-horizontal-relative:page;z-index:251663360;mso-width-relative:page;mso-height-relative:page;" filled="f" stroked="t" coordsize="21600,21600" o:gfxdata="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ksWATYAAAADAEAAA8AAAAAAAAAAQAgAAAAIgAAAGRycy9kb3ducmV2Lnht&#10;bFBLAQIUABQAAAAIAIdO4kCSnmWW+QEAAOsDAAAOAAAAAAAAAAEAIAAAACcBAABkcnMvZTJvRG9j&#10;LnhtbFBLBQYAAAAABgAGAFkBAACSBQAAAAA=&#10;">
              <v:fill on="f" focussize="0,0"/>
              <v:stroke weight="5pt" color="#FFFFFF" linestyle="thinThick" joinstyle="round"/>
              <v:imagedata o:title=""/>
              <o:lock v:ext="edit" aspectratio="f"/>
            </v:lin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4"/>
                      <w:ind w:right="320" w:rightChars="100"/>
                      <w:rPr>
                        <w:rFonts w:hint="eastAsia" w:eastAsiaTheme="minorEastAsia"/>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rPr>
        <w:rFonts w:hint="eastAsia"/>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nforcement="0"/>
  <w:defaultTabStop w:val="420"/>
  <w:evenAndOddHeaders w:val="1"/>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E3NTU5YTk1MmRhYmYxOTQyYmJkZWM2NzBlMjM1ZGMifQ=="/>
  </w:docVars>
  <w:rsids>
    <w:rsidRoot w:val="005E7243"/>
    <w:rsid w:val="000253FA"/>
    <w:rsid w:val="00072E52"/>
    <w:rsid w:val="000B3399"/>
    <w:rsid w:val="000C2F97"/>
    <w:rsid w:val="000D1B8B"/>
    <w:rsid w:val="000E6968"/>
    <w:rsid w:val="00116C7A"/>
    <w:rsid w:val="00145C75"/>
    <w:rsid w:val="001538F6"/>
    <w:rsid w:val="001701AE"/>
    <w:rsid w:val="001745DC"/>
    <w:rsid w:val="001851DD"/>
    <w:rsid w:val="001865AB"/>
    <w:rsid w:val="00195B6A"/>
    <w:rsid w:val="001A7EC9"/>
    <w:rsid w:val="001B667D"/>
    <w:rsid w:val="002269D4"/>
    <w:rsid w:val="00231764"/>
    <w:rsid w:val="00245BD9"/>
    <w:rsid w:val="00253BD6"/>
    <w:rsid w:val="00283713"/>
    <w:rsid w:val="002C0472"/>
    <w:rsid w:val="002D060D"/>
    <w:rsid w:val="00317448"/>
    <w:rsid w:val="00354EA9"/>
    <w:rsid w:val="00370F1E"/>
    <w:rsid w:val="003828FA"/>
    <w:rsid w:val="00396E4C"/>
    <w:rsid w:val="003A09E7"/>
    <w:rsid w:val="00410875"/>
    <w:rsid w:val="00414336"/>
    <w:rsid w:val="00430145"/>
    <w:rsid w:val="00461224"/>
    <w:rsid w:val="00472F9E"/>
    <w:rsid w:val="00475982"/>
    <w:rsid w:val="0048765D"/>
    <w:rsid w:val="004B2FE4"/>
    <w:rsid w:val="004D3B32"/>
    <w:rsid w:val="005678D8"/>
    <w:rsid w:val="005911D6"/>
    <w:rsid w:val="005978EB"/>
    <w:rsid w:val="005E17B5"/>
    <w:rsid w:val="005E7243"/>
    <w:rsid w:val="005E7BDD"/>
    <w:rsid w:val="006614BA"/>
    <w:rsid w:val="0066178F"/>
    <w:rsid w:val="00691574"/>
    <w:rsid w:val="006A3DF8"/>
    <w:rsid w:val="006A7E41"/>
    <w:rsid w:val="00712027"/>
    <w:rsid w:val="00726EF9"/>
    <w:rsid w:val="00745FF4"/>
    <w:rsid w:val="0079728D"/>
    <w:rsid w:val="007B7AB4"/>
    <w:rsid w:val="007C193A"/>
    <w:rsid w:val="007C569E"/>
    <w:rsid w:val="007E5E0D"/>
    <w:rsid w:val="00804A05"/>
    <w:rsid w:val="0087156E"/>
    <w:rsid w:val="0088476D"/>
    <w:rsid w:val="00892A0F"/>
    <w:rsid w:val="008A0FF1"/>
    <w:rsid w:val="008E2231"/>
    <w:rsid w:val="008F747C"/>
    <w:rsid w:val="00974737"/>
    <w:rsid w:val="00982794"/>
    <w:rsid w:val="009E611E"/>
    <w:rsid w:val="00A26E0B"/>
    <w:rsid w:val="00A75DE6"/>
    <w:rsid w:val="00A8598A"/>
    <w:rsid w:val="00A9035B"/>
    <w:rsid w:val="00AB00BB"/>
    <w:rsid w:val="00B22406"/>
    <w:rsid w:val="00B31BED"/>
    <w:rsid w:val="00B34692"/>
    <w:rsid w:val="00B47EE3"/>
    <w:rsid w:val="00B56D83"/>
    <w:rsid w:val="00BC4851"/>
    <w:rsid w:val="00BC54D6"/>
    <w:rsid w:val="00BE0177"/>
    <w:rsid w:val="00C37F2A"/>
    <w:rsid w:val="00C52395"/>
    <w:rsid w:val="00C60497"/>
    <w:rsid w:val="00C909AD"/>
    <w:rsid w:val="00CB6A69"/>
    <w:rsid w:val="00CE07AE"/>
    <w:rsid w:val="00DA3F99"/>
    <w:rsid w:val="00DC0D99"/>
    <w:rsid w:val="00DE3ED6"/>
    <w:rsid w:val="00E14ED5"/>
    <w:rsid w:val="00E503FB"/>
    <w:rsid w:val="00E95822"/>
    <w:rsid w:val="00F4723B"/>
    <w:rsid w:val="00F80DF8"/>
    <w:rsid w:val="00F954E9"/>
    <w:rsid w:val="00FA4D0B"/>
    <w:rsid w:val="00FC58D3"/>
    <w:rsid w:val="028528E4"/>
    <w:rsid w:val="04AC5B5A"/>
    <w:rsid w:val="1B2A4586"/>
    <w:rsid w:val="216915F0"/>
    <w:rsid w:val="3BFF2315"/>
    <w:rsid w:val="3C732D21"/>
    <w:rsid w:val="3C7671BF"/>
    <w:rsid w:val="3EDDFA47"/>
    <w:rsid w:val="3EFF1E64"/>
    <w:rsid w:val="4103650A"/>
    <w:rsid w:val="4B3C5314"/>
    <w:rsid w:val="4E776090"/>
    <w:rsid w:val="570E6174"/>
    <w:rsid w:val="5A815D32"/>
    <w:rsid w:val="5DF5346E"/>
    <w:rsid w:val="5FBC4487"/>
    <w:rsid w:val="6FDFAE0C"/>
    <w:rsid w:val="72A92BFC"/>
    <w:rsid w:val="76FFAB4D"/>
    <w:rsid w:val="77BBF16C"/>
    <w:rsid w:val="78564978"/>
    <w:rsid w:val="7EFF6425"/>
    <w:rsid w:val="BC4A2F80"/>
    <w:rsid w:val="BFDF3230"/>
    <w:rsid w:val="EF4BED2C"/>
    <w:rsid w:val="FDBD0F0F"/>
    <w:rsid w:val="FDFE8642"/>
    <w:rsid w:val="FDFEC8DC"/>
    <w:rsid w:val="FE9F8ABC"/>
    <w:rsid w:val="FEF356D7"/>
    <w:rsid w:val="FF7406BB"/>
    <w:rsid w:val="FFC93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cs="仿宋" w:asciiTheme="minorHAnsi" w:hAnsiTheme="minorHAnsi" w:eastAsiaTheme="minorEastAsia"/>
      <w:kern w:val="2"/>
      <w:sz w:val="32"/>
      <w:szCs w:val="3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autoRedefine/>
    <w:qFormat/>
    <w:uiPriority w:val="0"/>
    <w:pPr>
      <w:ind w:firstLine="420" w:firstLineChars="100"/>
    </w:pPr>
    <w:rPr>
      <w:rFonts w:ascii="Calibri" w:hAnsi="Calibri" w:eastAsia="宋体"/>
      <w:kern w:val="0"/>
      <w:sz w:val="20"/>
      <w:szCs w:val="20"/>
    </w:rPr>
  </w:style>
  <w:style w:type="paragraph" w:styleId="3">
    <w:name w:val="Body Text"/>
    <w:basedOn w:val="1"/>
    <w:autoRedefine/>
    <w:qFormat/>
    <w:uiPriority w:val="0"/>
    <w:pPr>
      <w:spacing w:after="120"/>
    </w:pPr>
  </w:style>
  <w:style w:type="paragraph" w:styleId="4">
    <w:name w:val="footer"/>
    <w:basedOn w:val="1"/>
    <w:autoRedefine/>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5">
    <w:name w:val="header"/>
    <w:basedOn w:val="1"/>
    <w:autoRedefine/>
    <w:qFormat/>
    <w:uiPriority w:val="0"/>
    <w:pPr>
      <w:pBdr>
        <w:bottom w:val="single" w:color="auto" w:sz="6" w:space="1"/>
      </w:pBdr>
      <w:tabs>
        <w:tab w:val="center" w:pos="4153"/>
        <w:tab w:val="right" w:pos="8306"/>
      </w:tabs>
      <w:snapToGrid w:val="0"/>
      <w:jc w:val="center"/>
    </w:pPr>
    <w:rPr>
      <w:rFonts w:ascii="Times New Roman" w:hAnsi="Times New Roman" w:eastAsia="仿宋" w:cs="Times New Roman"/>
      <w:color w:val="000000"/>
      <w:sz w:val="18"/>
      <w:szCs w:val="18"/>
    </w:r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autoRedefine/>
    <w:qFormat/>
    <w:uiPriority w:val="0"/>
    <w:rPr>
      <w:rFonts w:ascii="Times New Roman" w:hAnsi="Times New Roman" w:eastAsia="宋体" w:cs="Times New Roman"/>
    </w:rPr>
  </w:style>
  <w:style w:type="paragraph" w:customStyle="1" w:styleId="10">
    <w:name w:val="正文 + 仿宋_GB2312"/>
    <w:basedOn w:val="1"/>
    <w:autoRedefine/>
    <w:qFormat/>
    <w:uiPriority w:val="0"/>
    <w:pPr>
      <w:framePr w:hSpace="180" w:wrap="around" w:vAnchor="text" w:hAnchor="text" w:y="1"/>
      <w:spacing w:before="120" w:line="318" w:lineRule="atLeast"/>
      <w:jc w:val="center"/>
      <w:textAlignment w:val="bottom"/>
    </w:pPr>
    <w:rPr>
      <w:rFonts w:ascii="Times New Roman" w:hAnsi="Times New Roman" w:eastAsia="仿宋_GB2312"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Words>
  <Characters>9</Characters>
  <Lines>1</Lines>
  <Paragraphs>1</Paragraphs>
  <TotalTime>5</TotalTime>
  <ScaleCrop>false</ScaleCrop>
  <LinksUpToDate>false</LinksUpToDate>
  <CharactersWithSpaces>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2019-12-27T04:26:00Z</dcterms:created>
  <dc:creator>duan z</dc:creator>
  <cp:lastModifiedBy>方钊</cp:lastModifiedBy>
  <cp:lastPrinted>2023-07-27T20:34:00Z</cp:lastPrinted>
  <dcterms:modified xsi:type="dcterms:W3CDTF">2024-05-20T08:58:06Z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D1A5B2E045A348BC9AB26C145928BC84_12</vt:lpwstr>
  </property>
</Properties>
</file>