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verflowPunct w:val="0"/>
        <w:autoSpaceDE w:val="0"/>
        <w:autoSpaceDN w:val="0"/>
        <w:spacing w:line="348" w:lineRule="auto"/>
        <w:jc w:val="left"/>
        <w:rPr>
          <w:rFonts w:hint="eastAsia" w:ascii="黑体" w:hAnsi="黑体" w:eastAsia="黑体"/>
          <w:vanish w:val="0"/>
          <w:sz w:val="32"/>
          <w:szCs w:val="32"/>
        </w:rPr>
      </w:pPr>
      <w:bookmarkStart w:id="0" w:name="_GoBack"/>
      <w:bookmarkEnd w:id="0"/>
    </w:p>
    <w:p>
      <w:pPr>
        <w:overflowPunct w:val="0"/>
        <w:autoSpaceDE w:val="0"/>
        <w:autoSpaceDN w:val="0"/>
        <w:spacing w:line="348" w:lineRule="auto"/>
        <w:jc w:val="left"/>
        <w:rPr>
          <w:rFonts w:hint="eastAsia" w:ascii="黑体" w:hAnsi="黑体" w:eastAsia="黑体"/>
          <w:vanish w:val="0"/>
          <w:sz w:val="32"/>
          <w:szCs w:val="32"/>
        </w:rPr>
      </w:pPr>
    </w:p>
    <w:p>
      <w:pPr>
        <w:overflowPunct w:val="0"/>
        <w:autoSpaceDE w:val="0"/>
        <w:autoSpaceDN w:val="0"/>
        <w:spacing w:line="348" w:lineRule="auto"/>
        <w:jc w:val="left"/>
        <w:rPr>
          <w:rFonts w:hint="eastAsia" w:ascii="黑体" w:hAnsi="黑体" w:eastAsia="黑体"/>
          <w:vanish w:val="0"/>
          <w:sz w:val="32"/>
          <w:szCs w:val="32"/>
          <w:lang w:eastAsia="zh-CN"/>
        </w:rPr>
      </w:pPr>
    </w:p>
    <w:p>
      <w:pPr>
        <w:overflowPunct w:val="0"/>
        <w:autoSpaceDE w:val="0"/>
        <w:autoSpaceDN w:val="0"/>
        <w:spacing w:line="348" w:lineRule="auto"/>
        <w:ind w:firstLine="440" w:firstLineChars="100"/>
        <w:jc w:val="left"/>
        <w:rPr>
          <w:rFonts w:hint="eastAsia" w:ascii="仿宋_GB2312" w:eastAsia="仿宋_GB2312"/>
          <w:vanish w:val="0"/>
          <w:sz w:val="44"/>
          <w:szCs w:val="44"/>
        </w:rPr>
      </w:pPr>
    </w:p>
    <w:p>
      <w:pPr>
        <w:overflowPunct w:val="0"/>
        <w:autoSpaceDE w:val="0"/>
        <w:autoSpaceDN w:val="0"/>
        <w:spacing w:line="348" w:lineRule="auto"/>
        <w:ind w:firstLine="440" w:firstLineChars="100"/>
        <w:jc w:val="left"/>
        <w:rPr>
          <w:rFonts w:hint="eastAsia" w:ascii="仿宋_GB2312" w:eastAsia="仿宋_GB2312"/>
          <w:vanish w:val="0"/>
          <w:sz w:val="44"/>
          <w:szCs w:val="44"/>
        </w:rPr>
      </w:pPr>
    </w:p>
    <w:p>
      <w:pPr>
        <w:overflowPunct w:val="0"/>
        <w:autoSpaceDE w:val="0"/>
        <w:autoSpaceDN w:val="0"/>
        <w:spacing w:line="348" w:lineRule="auto"/>
        <w:ind w:firstLine="360" w:firstLineChars="100"/>
        <w:jc w:val="left"/>
        <w:rPr>
          <w:rFonts w:hint="eastAsia" w:ascii="仿宋_GB2312" w:eastAsia="仿宋_GB2312"/>
          <w:vanish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36" w:lineRule="auto"/>
        <w:ind w:left="210" w:leftChars="100" w:right="210" w:rightChars="100"/>
        <w:jc w:val="center"/>
        <w:textAlignment w:val="auto"/>
        <w:rPr>
          <w:rFonts w:hint="eastAsia" w:ascii="楷体_GB2312" w:hAnsi="楷体_GB2312" w:eastAsia="楷体_GB2312"/>
          <w:vanish w:val="0"/>
          <w:sz w:val="32"/>
          <w:szCs w:val="32"/>
        </w:rPr>
      </w:pPr>
      <w:r>
        <w:rPr>
          <w:rFonts w:hint="eastAsia" w:ascii="仿宋_GB2312" w:eastAsia="仿宋_GB2312"/>
          <w:vanish w:val="0"/>
          <w:sz w:val="32"/>
          <w:szCs w:val="32"/>
        </w:rPr>
        <w:t>闽江夏</w:t>
      </w:r>
      <w:r>
        <w:rPr>
          <w:rFonts w:hint="eastAsia" w:ascii="仿宋_GB2312" w:eastAsia="仿宋_GB2312"/>
          <w:vanish w:val="0"/>
          <w:sz w:val="32"/>
          <w:szCs w:val="32"/>
          <w:lang w:val="en-US" w:eastAsia="zh-CN"/>
        </w:rPr>
        <w:t>科</w:t>
      </w:r>
      <w:r>
        <w:rPr>
          <w:rFonts w:hint="eastAsia" w:ascii="仿宋_GB2312" w:eastAsia="仿宋_GB2312"/>
          <w:vanish w:val="0"/>
          <w:sz w:val="32"/>
          <w:szCs w:val="32"/>
        </w:rPr>
        <w:t>〔20</w:t>
      </w:r>
      <w:r>
        <w:rPr>
          <w:rFonts w:hint="eastAsia" w:ascii="仿宋_GB2312" w:eastAsia="仿宋_GB2312"/>
          <w:vanish w:val="0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vanish w:val="0"/>
          <w:sz w:val="32"/>
          <w:szCs w:val="32"/>
        </w:rPr>
        <w:t>〕  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36" w:lineRule="auto"/>
        <w:ind w:left="210" w:leftChars="100" w:right="210" w:rightChars="100"/>
        <w:jc w:val="center"/>
        <w:textAlignment w:val="auto"/>
        <w:rPr>
          <w:rFonts w:hint="eastAsia" w:ascii="楷体_GB2312" w:hAnsi="楷体_GB2312" w:eastAsia="楷体_GB2312"/>
          <w:vanish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36" w:lineRule="auto"/>
        <w:ind w:left="210" w:leftChars="100" w:right="210" w:rightChars="100"/>
        <w:jc w:val="center"/>
        <w:textAlignment w:val="auto"/>
        <w:rPr>
          <w:rFonts w:hint="eastAsia" w:ascii="楷体_GB2312" w:hAnsi="楷体_GB2312" w:eastAsia="楷体_GB2312"/>
          <w:vanish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336" w:lineRule="auto"/>
        <w:jc w:val="center"/>
        <w:textAlignment w:val="auto"/>
        <w:rPr>
          <w:rFonts w:hint="eastAsia" w:ascii="宋体_GB2312" w:hAnsi="宋体_GB2312" w:eastAsia="宋体_GB2312" w:cs="宋体_GB2312"/>
          <w:bCs/>
          <w:vanish w:val="0"/>
          <w:color w:val="000000"/>
          <w:spacing w:val="-5"/>
          <w:kern w:val="0"/>
          <w:sz w:val="44"/>
          <w:szCs w:val="44"/>
          <w:lang w:val="en-US" w:eastAsia="zh-CN"/>
        </w:rPr>
      </w:pPr>
      <w:r>
        <w:rPr>
          <w:rFonts w:hint="eastAsia" w:ascii="宋体_GB2312" w:hAnsi="宋体_GB2312" w:eastAsia="宋体_GB2312" w:cs="宋体_GB2312"/>
          <w:bCs/>
          <w:vanish w:val="0"/>
          <w:color w:val="000000"/>
          <w:spacing w:val="-5"/>
          <w:kern w:val="0"/>
          <w:sz w:val="44"/>
          <w:szCs w:val="44"/>
          <w:lang w:val="en-US" w:eastAsia="zh-CN"/>
        </w:rPr>
        <w:t>关于印发《福建江夏学院学科建设管理办法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336" w:lineRule="auto"/>
        <w:jc w:val="center"/>
        <w:textAlignment w:val="auto"/>
        <w:rPr>
          <w:rFonts w:hint="eastAsia" w:ascii="宋体_GB2312" w:hAnsi="宋体_GB2312" w:eastAsia="宋体_GB2312" w:cs="宋体_GB2312"/>
          <w:bCs/>
          <w:vanish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_GB2312" w:hAnsi="宋体_GB2312" w:eastAsia="宋体_GB2312" w:cs="宋体_GB2312"/>
          <w:bCs/>
          <w:vanish w:val="0"/>
          <w:color w:val="000000"/>
          <w:spacing w:val="-5"/>
          <w:kern w:val="0"/>
          <w:sz w:val="44"/>
          <w:szCs w:val="44"/>
          <w:lang w:val="en-US" w:eastAsia="zh-CN"/>
        </w:rPr>
        <w:t>（试行）</w:t>
      </w:r>
      <w:r>
        <w:rPr>
          <w:rFonts w:hint="eastAsia" w:ascii="宋体_GB2312" w:hAnsi="宋体_GB2312" w:eastAsia="宋体_GB2312" w:cs="宋体_GB2312"/>
          <w:bCs/>
          <w:vanish w:val="0"/>
          <w:color w:val="000000"/>
          <w:kern w:val="0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336" w:lineRule="auto"/>
        <w:ind w:firstLine="560" w:firstLineChars="200"/>
        <w:textAlignment w:val="auto"/>
        <w:rPr>
          <w:rFonts w:ascii="仿宋_GB2312" w:hAnsi="宋体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336" w:lineRule="auto"/>
        <w:textAlignment w:val="auto"/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bCs/>
          <w:vanish w:val="0"/>
          <w:color w:val="000000"/>
          <w:kern w:val="0"/>
          <w:sz w:val="32"/>
          <w:szCs w:val="32"/>
        </w:rPr>
        <w:t>各部门，各学院（部）、馆、中心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336" w:lineRule="auto"/>
        <w:ind w:firstLine="640" w:firstLineChars="200"/>
        <w:textAlignment w:val="auto"/>
        <w:rPr>
          <w:rFonts w:ascii="仿宋_GB2312" w:hAnsi="仿宋_GB2312" w:eastAsia="仿宋_GB2312"/>
          <w:vanish w:val="0"/>
          <w:sz w:val="32"/>
          <w:szCs w:val="32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经2019年7月4日校长办公会议审议通过，现将《福建江夏学院学科建设管理办法（试行）》印发给你们，请认真遵照执行</w:t>
      </w:r>
      <w:r>
        <w:rPr>
          <w:rFonts w:hint="eastAsia" w:ascii="仿宋_GB2312" w:hAnsi="仿宋_GB2312" w:eastAsia="仿宋_GB2312"/>
          <w:vanish w:val="0"/>
          <w:sz w:val="32"/>
          <w:szCs w:val="32"/>
        </w:rPr>
        <w:t>。2014年4月29日</w:t>
      </w: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印发的《福建江夏学院重点学科建设与管理办法》（闽江夏〔2014〕63号）同时废止。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336" w:lineRule="auto"/>
        <w:ind w:firstLine="1733" w:firstLineChars="619"/>
        <w:textAlignment w:val="auto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336" w:lineRule="auto"/>
        <w:jc w:val="right"/>
        <w:textAlignment w:val="auto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336" w:lineRule="auto"/>
        <w:ind w:right="1050" w:rightChars="500"/>
        <w:jc w:val="right"/>
        <w:textAlignment w:val="auto"/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  <w:t>福建江夏学院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336" w:lineRule="auto"/>
        <w:ind w:right="840" w:rightChars="400"/>
        <w:jc w:val="right"/>
        <w:textAlignment w:val="auto"/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  <w:br w:type="page"/>
      </w:r>
    </w:p>
    <w:p>
      <w:pPr>
        <w:wordWrap/>
        <w:overflowPunct w:val="0"/>
        <w:spacing w:line="360" w:lineRule="auto"/>
        <w:ind w:right="840" w:rightChars="400"/>
        <w:jc w:val="both"/>
        <w:rPr>
          <w:rFonts w:hint="default" w:ascii="黑体" w:hAnsi="黑体" w:eastAsia="黑体" w:cs="宋体"/>
          <w:vanish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vanish w:val="0"/>
          <w:color w:val="000000"/>
          <w:kern w:val="0"/>
          <w:sz w:val="32"/>
          <w:szCs w:val="32"/>
        </w:rPr>
        <w:t>附件</w:t>
      </w:r>
    </w:p>
    <w:p>
      <w:pPr>
        <w:overflowPunct w:val="0"/>
        <w:spacing w:line="360" w:lineRule="auto"/>
        <w:ind w:firstLine="3401" w:firstLineChars="1063"/>
        <w:rPr>
          <w:rFonts w:hint="eastAsia" w:ascii="黑体" w:hAnsi="黑体" w:eastAsia="黑体" w:cs="宋体"/>
          <w:vanish w:val="0"/>
          <w:color w:val="000000"/>
          <w:kern w:val="0"/>
          <w:sz w:val="32"/>
          <w:szCs w:val="32"/>
        </w:rPr>
      </w:pPr>
    </w:p>
    <w:p>
      <w:pPr>
        <w:overflowPunct w:val="0"/>
        <w:spacing w:line="360" w:lineRule="auto"/>
        <w:jc w:val="center"/>
        <w:rPr>
          <w:rFonts w:hint="eastAsia" w:ascii="宋体_GB2312" w:hAnsi="宋体_GB2312" w:eastAsia="宋体_GB2312" w:cs="宋体_GB2312"/>
          <w:bCs/>
          <w:vanish w:val="0"/>
          <w:color w:val="000000"/>
          <w:kern w:val="0"/>
          <w:sz w:val="44"/>
          <w:szCs w:val="44"/>
        </w:rPr>
      </w:pPr>
      <w:r>
        <w:rPr>
          <w:rFonts w:hint="eastAsia" w:ascii="宋体_GB2312" w:hAnsi="宋体_GB2312" w:eastAsia="宋体_GB2312" w:cs="宋体_GB2312"/>
          <w:bCs/>
          <w:vanish w:val="0"/>
          <w:color w:val="000000"/>
          <w:kern w:val="0"/>
          <w:sz w:val="44"/>
          <w:szCs w:val="44"/>
          <w:lang w:val="en-US" w:eastAsia="zh-CN"/>
        </w:rPr>
        <w:t>福建江夏学院学科建设管理办法（试行）</w:t>
      </w:r>
    </w:p>
    <w:p>
      <w:pPr>
        <w:overflowPunct w:val="0"/>
        <w:spacing w:line="360" w:lineRule="auto"/>
        <w:rPr>
          <w:rFonts w:hint="eastAsia" w:ascii="仿宋_GB2312" w:hAnsi="宋体" w:eastAsia="仿宋_GB2312" w:cs="宋体"/>
          <w:vanish w:val="0"/>
          <w:color w:val="000000"/>
          <w:kern w:val="0"/>
          <w:sz w:val="32"/>
          <w:szCs w:val="32"/>
        </w:rPr>
      </w:pPr>
    </w:p>
    <w:p>
      <w:pPr>
        <w:overflowPunct w:val="0"/>
        <w:spacing w:line="360" w:lineRule="auto"/>
        <w:ind w:left="0" w:leftChars="0" w:firstLine="0" w:firstLineChars="0"/>
        <w:jc w:val="center"/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  <w:t>第一章  总则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第一条  为规范和加强学校各级各类学科的建设与管理，加快学科建设和学位点建设步伐，发挥学科建设的龙头作用，推动硕士学位授予单位培育建设。结合学校实际情况，制定本办法。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第二条  学科建设目标：围绕国家和区域重大发展战略需求，根据学校办学定位，重点建设优势学科，提升特色应用学科，积极培养新兴交叉学科，构建特色鲜明、优势突出、多学科协调发展的学科体系，全面提升学科水平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第三条  学科分类以国务院学位委员会、教育部最新颁布的《学位授予和人才培养学科目录》为依据。</w:t>
      </w:r>
    </w:p>
    <w:p>
      <w:pPr>
        <w:overflowPunct w:val="0"/>
        <w:spacing w:line="360" w:lineRule="auto"/>
        <w:ind w:left="0" w:leftChars="0" w:firstLine="0" w:firstLineChars="0"/>
        <w:jc w:val="center"/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  <w:t>第二章  立项与建设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第四条  学校根据“分类指导、分层建设、分步推进、动态调整”原则，制定和实施学科建设规划，支持一批优势特色学科分层分类建设，统筹推进学科建设。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第五条  学校依照学科建设原则、学科基础和发展需要，将立项建设的学科分为校级学科、省级学科。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第六条  立项重点建设的学科必须按照学位授权审核基本条件，编制学科建设方案，作为本学科立项建设和评估验收的依据。学科建设方案须广泛征求意见，经专家论证、党政联席会议初审、报学科建设工作领导小组审定。学科建设方案在建设周期内一般不作大的调整；如确需调整，须按相同程序确定。学科建设周期一般为3年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第七条  凝炼学科方向是学科建设的核心。各学科要及时掌握本学科及相关领域最新发展动态，结合国家和区域重大发展需求、行业企业关键核心技术，科学凝练学科方向，坚持以任务为导向，明确需要解决的重大科学问题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第八条  师资队伍是学科建设的关键。各学科要大力构筑人才高地，打造“一个学术领军人才为学科带头人、若干高端创新人才为学科方向负责人、一批优秀创新人才为学科骨干”的高水平师资队伍。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第九条  人才培养是学科建设的根本任务。各学科要建立学科建设与人才培养联动机制，将学科建设成果以各种不同形式转化到人才培养质量上。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第十条  学科平台是学科建设的基础。各学科要根据学科创新与研究需要，围绕学科方向和学科团队,构建契合本学科方向的学科平台。建立体系化的科研转化平台，完善科技服务建设，助推科技成果转化。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第十一条  对外交流合作是学科发展的桥梁。各学科要加强合作，深化对外交流，促进多层次、宽领域的务实合作。积极主动举办或参加重要的学术会议，开展国（境）内外学术交流，提高学术水平和学科声誉。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第十二条  科学研究和社会服务是学科建设的基本任务。各学科要大力推进学科交叉融合和协同创新，突破制约创新能力提升的机制体制障碍，激发创新活力，更好地实现大学服务社会的功能。</w:t>
      </w:r>
    </w:p>
    <w:p>
      <w:pPr>
        <w:overflowPunct w:val="0"/>
        <w:spacing w:line="360" w:lineRule="auto"/>
        <w:ind w:left="0" w:leftChars="0" w:firstLine="0" w:firstLineChars="0"/>
        <w:jc w:val="center"/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  <w:t>第三章  组织与运行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第十三条  学科建设管理采取学校、二级学院（部）、学科三级联动。实行依托二级学院（部）领导下的学科带头人负责制。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第十四条  学校成立学科建设工作领导小组，领导全校学科建设工作。领导小组办公室设在科研处，作为具体办事机构，负责全校学科建设的日常管理工作，包括：制定学校学科建设规划与管理规范文件；编制全校学科建设专项经费预算；开展各级学科建设项目的申报、考核、评估、验收和总结等工作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各职能部门对学科建设负有相应责任，在人力、财力、物力等方面优先保证学科建设的需要。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第十五条  二级学院（部）学科建设工作由本单位党政领导班子和学术分委员会共同负责。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二级学院（部）行政负责人为本单位学科建设工作第一责任人，主要负责：制定本单位学科建设规划；组织各类学科建设项目的申报和管理；推荐学科带头人、学科方向带头人人选；审批与监督学科建设经费的日常使用；加强本单位学科资源重组和优化配置等工作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学术分委员会是本单位学科建设发展的学术指导机构，主要负责：研究论证本学科建设规划；为学科方向凝练、学术梯队建设、教学科研改革提供专业指导；带领本学科成员申报重大科研项目、完成重点科研任务、争取高级别奖项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第十六条  学科带头人为本学科建设的直接责任人，主要负责：实施本学科建设计划；拓展学科特色和凝练研究方向；规划人才培养与研究团队建设；开展教学科研和社会服务；组织落实本学科评估考核与检查验收工作。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第十七条  学科带头人应在本学科领域具有较高的学术水平和较大的学术影响，有较强的组织管理能力和团队合作精神。学科带头人由二级学院（部）党政主要负责人提名，经本单位学术分委员会审议、党政联席会议确认后，报科研处备案。跨二级学院（部）组建学科的学科带头人，由相关二级学院（部）推选，报科研处备案。学科带头人变更须按相同程序确定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第十八条  由多个二级学院（部）共同建设的学科，牵头单位要做好组织、分工和协调工作，充分调动各建设单位、学科团队成员的积极性，相互配合，按照建设目标开展建设。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第十九条  建立完善的学科建设例会制度，定期召开学科建设工作会议，及时研究解决学科建设过程中出现的问题。跨二级学院（部）组建学科可成立学科建设协调小组，通过学科例会推进学科建设任务的落实。</w:t>
      </w:r>
    </w:p>
    <w:p>
      <w:pPr>
        <w:overflowPunct w:val="0"/>
        <w:spacing w:line="360" w:lineRule="auto"/>
        <w:ind w:left="0" w:leftChars="0" w:firstLine="0" w:firstLineChars="0"/>
        <w:jc w:val="center"/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  <w:t>第四章  经费与使用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第二十条  学校保持学科建设经费连续、稳定的投入和持续增长，为学科建设提供必要的建设条件和人力物力支撑。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第二十一条  学科建设经费管理实行统一划拨，分级管理、单独核算，专款专用、集中监管。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第二十二条  学科建设经费列入学校年度财务预算方案，实行预算申报管理。学校根据年度预算方案，按照一定比例分别对不同类别学科向有关二级学院（部）拨付学科建设经费。学科带头人根据学科建设方案（任务书）编制本学科科学、可行的年度经费预算。预算范围参照本办法所规定的经费开支范围执行。经二级学院（部）学术分委员会论证、党政联席会议审查，报科研处审核、计划财务处审定后实施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第二十三条  学科建设经费主要用于学科条件建设、学科梯队建设、学科平台建设、科学研究、对外交流与合作及人才培养等方面的开支，经费使用须严格执行有关规定。开支范围主要包括：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（一）条件建设：主要用于购置学科建设所必需的仪器设备、图书资料，或自制专用仪器设备，对现有仪器设备进行升级、改造、维护，以及教学、科研平台的运行和申报，评估建设等。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（二）梯队建设：主要用于高层次人才（含学科团队）引进的配套经费或科学研究的直接费用、培养青年学术骨干所需要的进修、培训等经费。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（三）科学研究：主要用于吸引国内外优秀人才进入学科开展高水平科学研究的经费；用于学科点教师开展省级及以上科研项目申报、培育、研究所需的经费；用于学科点教师开展重大科研成果所需的资助和经费；用于围绕本学科建设任务和研究方向，开展前瞻性学术研究的开放基金科研经费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（四）对外合作与交流：主要用于实施学科建设过程中学科研究人员与国（境）内外机构开展学术交流合作，包括举办国际国内学术会议，邀请有关专家学者来校开展咨询、培训、交流、讲学等工作的经费。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（五）人才培养：主要用于人才创新能力培养及教育教学改革创新，实施一流专业建设“双万计划”等所需的费用，包括资助优质课程资源建设、学生高水平创新成果培育、奖励、实践及访学等活动。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（六）劳务费支出：用于学科建设过程产生的劳务支出，主要包括学科建设调研论证、学位点评估等经费支出。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（七）其他支出：用于在学科建设过程中临时产生的，未纳入预算的机动费用支出，所占经费不超过学科建设总经费的5%。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第二十四条  学科建设经费预算一经批复，必须严格按照预算规定的开支范围和项目进度执行，不得超预算开支。经费预算原则上不得随意调整和变更，在建设过程中，因学科发展的需要确实必须改变建设经费预算的，按照规定的程序申请批复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第二十五条  学科建设经费支出按学校财务支出审批有关规定执行。学校对学科建设经费进行全程审计和监督。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第二十六条  学校鼓励各学科通过承担科研项目、开展咨询服务等多途径、多渠道筹措经费用于学科建设。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第二十七条  使用学科建设经费形成的资产都属于国有资产，统一纳入学校资产管理，做到资源共享，充分利用。属于政府采购的支出项目，按照政府采购有关规定执行。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第二十八条  学科建设周期结束后，剩余经费实行回缴制度，按原渠道收回。</w:t>
      </w:r>
    </w:p>
    <w:p>
      <w:pPr>
        <w:overflowPunct w:val="0"/>
        <w:spacing w:line="360" w:lineRule="auto"/>
        <w:ind w:left="0" w:leftChars="0" w:firstLine="0" w:firstLineChars="0"/>
        <w:jc w:val="center"/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  <w:t>第五章  考核与评估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第二十九条  建立学科建设绩效评价管理机制。学校按照“客观公正、注重实效、权责一致”的原则，对立项建设学科进行绩效考评，实行年度报告、中期评估、终期验收制度。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第三十条  建立学科建设绩效奖惩机制。学科建设实行动态管理，各学科的验收结果作为学校提供后续资助、推荐申报省级学科的重要依据。有关学科建设进展缓慢，难以完成预定目标、经费使用未达80%、存在弄虚作假行为的，学校将根据建设程度削减或停止该学科下一年度经费。各学科的建设成效及资金使用进度列为二级学院（部）领导班子考核的重要指标。</w:t>
      </w:r>
    </w:p>
    <w:p>
      <w:pPr>
        <w:overflowPunct w:val="0"/>
        <w:spacing w:line="360" w:lineRule="auto"/>
        <w:ind w:left="0" w:leftChars="0" w:firstLine="0" w:firstLineChars="0"/>
        <w:jc w:val="center"/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vanish w:val="0"/>
          <w:sz w:val="32"/>
          <w:szCs w:val="32"/>
          <w:lang w:val="en-US" w:eastAsia="zh-CN"/>
        </w:rPr>
        <w:t>第六章  附则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第三十一条  本办法由学科建设工作领导小组办公室（科研处）负责解释。</w:t>
      </w:r>
    </w:p>
    <w:p>
      <w:pPr>
        <w:overflowPunct w:val="0"/>
        <w:spacing w:line="360" w:lineRule="auto"/>
        <w:ind w:firstLine="640" w:firstLineChars="200"/>
        <w:rPr>
          <w:rFonts w:hint="eastAsia" w:ascii="仿宋_GB2312" w:hAnsi="仿宋_GB2312" w:eastAsia="仿宋_GB2312"/>
          <w:vanish w:val="0"/>
          <w:sz w:val="32"/>
          <w:szCs w:val="32"/>
        </w:rPr>
      </w:pPr>
      <w:r>
        <w:rPr>
          <w:rFonts w:hint="eastAsia" w:ascii="仿宋_GB2312" w:hAnsi="仿宋_GB2312" w:eastAsia="仿宋_GB2312"/>
          <w:vanish w:val="0"/>
          <w:sz w:val="32"/>
          <w:szCs w:val="32"/>
          <w:lang w:val="en-US" w:eastAsia="zh-CN"/>
        </w:rPr>
        <w:t>第三十二条  本办法自发布之日起试行。</w:t>
      </w: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  <w:br w:type="page"/>
      </w: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2976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</w:pPr>
    </w:p>
    <w:p>
      <w:pPr>
        <w:overflowPunct w:val="0"/>
        <w:spacing w:line="348" w:lineRule="auto"/>
        <w:ind w:firstLine="3401" w:firstLineChars="1063"/>
        <w:jc w:val="center"/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</w:pPr>
    </w:p>
    <w:p>
      <w:pPr>
        <w:overflowPunct w:val="0"/>
        <w:spacing w:line="324" w:lineRule="auto"/>
        <w:rPr>
          <w:rFonts w:hint="eastAsia" w:ascii="仿宋_GB2312" w:hAnsi="仿宋_GB2312" w:eastAsia="仿宋_GB2312" w:cs="宋体"/>
          <w:vanish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vanish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636270</wp:posOffset>
                </wp:positionV>
                <wp:extent cx="5615305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.35pt;margin-top:50.1pt;height:0.05pt;width:442.15pt;z-index:251659264;mso-width-relative:page;mso-height-relative:page;" filled="f" stroked="t" coordsize="21600,21600" o:gfxdata="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VoygdYAAAAIAQAADwAAAAAAAAABACAAAAAi&#10;AAAAZHJzL2Rvd25yZXYueG1sUEsBAhQAFAAAAAgAh07iQFTlDa3TAQAAngMAAA4AAAAAAAAAAQAg&#10;AAAAJQEAAGRycy9lMm9Eb2MueG1sUEsFBgAAAAAGAAYAWQEAAGo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vanish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316230</wp:posOffset>
                </wp:positionV>
                <wp:extent cx="5615305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1pt;margin-top:24.9pt;height:0.05pt;width:442.15pt;z-index:251658240;mso-width-relative:page;mso-height-relative:page;" filled="f" stroked="t" coordsize="21600,21600" o:gfxdata="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6B4a/1QAAAAYBAAAPAAAAAAAAAAEAIAAAACIA&#10;AABkcnMvZG93bnJldi54bWxQSwECFAAUAAAACACHTuJANj9aH9MBAACeAwAADgAAAAAAAAABACAA&#10;AAAkAQAAZHJzL2Uyb0RvYy54bWxQSwUGAAAAAAYABgBZAQAAa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 w:val="0"/>
        <w:overflowPunct w:val="0"/>
        <w:spacing w:line="360" w:lineRule="auto"/>
        <w:ind w:left="210" w:leftChars="100" w:right="210" w:rightChars="100"/>
        <w:rPr>
          <w:rFonts w:hint="eastAsia" w:ascii="仿宋_GB2312" w:hAnsi="仿宋_GB2312" w:eastAsia="仿宋_GB2312"/>
          <w:vanish w:val="0"/>
          <w:sz w:val="28"/>
          <w:szCs w:val="28"/>
        </w:rPr>
      </w:pP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  <w:t>福建江夏学院党、政办公室                  20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宋体"/>
          <w:vanish w:val="0"/>
          <w:color w:val="000000"/>
          <w:kern w:val="0"/>
          <w:sz w:val="28"/>
          <w:szCs w:val="28"/>
        </w:rPr>
        <w:t>月  日印发</w:t>
      </w:r>
    </w:p>
    <w:sectPr>
      <w:footerReference r:id="rId3" w:type="default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_GB2312">
    <w:altName w:val="宋体"/>
    <w:panose1 w:val="02010600030101010101"/>
    <w:charset w:val="86"/>
    <w:family w:val="auto"/>
    <w:pitch w:val="default"/>
    <w:sig w:usb0="00000000" w:usb1="00000000" w:usb2="00000016" w:usb3="00000000" w:csb0="6016019D" w:csb1="D3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tabs>
        <w:tab w:val="left" w:pos="840"/>
      </w:tabs>
      <w:ind w:left="210" w:leftChars="100" w:right="210" w:rightChars="100"/>
      <w:jc w:val="center"/>
      <w:rPr>
        <w:rStyle w:val="10"/>
        <w:rFonts w:ascii="Arial" w:hAnsi="Arial" w:cs="Arial"/>
        <w:sz w:val="28"/>
        <w:szCs w:val="28"/>
      </w:rPr>
    </w:pPr>
    <w:r>
      <w:rPr>
        <w:rFonts w:hint="eastAsia" w:ascii="宋体" w:hAnsi="宋体" w:cs="Arial"/>
        <w:sz w:val="28"/>
        <w:szCs w:val="28"/>
      </w:rPr>
      <w:t xml:space="preserve">— </w:t>
    </w:r>
    <w:r>
      <w:rPr>
        <w:rFonts w:hint="eastAsia" w:ascii="宋体" w:hAnsi="宋体" w:cs="Arial"/>
        <w:sz w:val="28"/>
        <w:szCs w:val="28"/>
      </w:rPr>
      <w:fldChar w:fldCharType="begin"/>
    </w:r>
    <w:r>
      <w:rPr>
        <w:rStyle w:val="10"/>
        <w:rFonts w:hint="eastAsia" w:ascii="宋体" w:hAnsi="宋体" w:cs="Arial"/>
        <w:sz w:val="28"/>
        <w:szCs w:val="28"/>
      </w:rPr>
      <w:instrText xml:space="preserve">PAGE  </w:instrText>
    </w:r>
    <w:r>
      <w:rPr>
        <w:rFonts w:hint="eastAsia" w:ascii="宋体" w:hAnsi="宋体" w:cs="Arial"/>
        <w:sz w:val="28"/>
        <w:szCs w:val="28"/>
      </w:rPr>
      <w:fldChar w:fldCharType="separate"/>
    </w:r>
    <w:r>
      <w:rPr>
        <w:rStyle w:val="10"/>
        <w:rFonts w:ascii="宋体" w:hAnsi="宋体" w:cs="Arial"/>
        <w:sz w:val="28"/>
        <w:szCs w:val="28"/>
      </w:rPr>
      <w:t>2</w:t>
    </w:r>
    <w:r>
      <w:rPr>
        <w:rFonts w:hint="eastAsia" w:ascii="宋体" w:hAnsi="宋体" w:cs="Arial"/>
        <w:sz w:val="28"/>
        <w:szCs w:val="28"/>
      </w:rPr>
      <w:fldChar w:fldCharType="end"/>
    </w:r>
    <w:r>
      <w:rPr>
        <w:rFonts w:hint="eastAsia" w:ascii="宋体" w:hAnsi="宋体" w:cs="Arial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43E8"/>
    <w:rsid w:val="000F1C6B"/>
    <w:rsid w:val="00153F0D"/>
    <w:rsid w:val="00413847"/>
    <w:rsid w:val="008B1628"/>
    <w:rsid w:val="009A304C"/>
    <w:rsid w:val="00D5598C"/>
    <w:rsid w:val="00E20C6F"/>
    <w:rsid w:val="041664CF"/>
    <w:rsid w:val="04DD4010"/>
    <w:rsid w:val="0AC46D0C"/>
    <w:rsid w:val="18712D7D"/>
    <w:rsid w:val="31A30C5B"/>
    <w:rsid w:val="32ED51D4"/>
    <w:rsid w:val="480344AE"/>
    <w:rsid w:val="4F260D53"/>
    <w:rsid w:val="5144183C"/>
    <w:rsid w:val="55367497"/>
    <w:rsid w:val="57511EF2"/>
    <w:rsid w:val="59F343B3"/>
    <w:rsid w:val="662E3B2B"/>
    <w:rsid w:val="704E0F3A"/>
    <w:rsid w:val="753241E7"/>
    <w:rsid w:val="76246F72"/>
    <w:rsid w:val="76826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00"/>
      <w:sz w:val="18"/>
      <w:szCs w:val="18"/>
      <w:u w:val="none"/>
    </w:rPr>
  </w:style>
  <w:style w:type="paragraph" w:customStyle="1" w:styleId="12">
    <w:name w:val="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行政内文.dot</Template>
  <Pages>4</Pages>
  <Words>754</Words>
  <Characters>762</Characters>
  <Lines>6</Lines>
  <Paragraphs>1</Paragraphs>
  <TotalTime>22</TotalTime>
  <ScaleCrop>false</ScaleCrop>
  <LinksUpToDate>false</LinksUpToDate>
  <CharactersWithSpaces>860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2019-07-09T02:36:00Z</dcterms:created>
  <dc:creator>陈天</dc:creator>
  <cp:lastModifiedBy>寂寞化石</cp:lastModifiedBy>
  <dcterms:modified xsi:type="dcterms:W3CDTF">2019-07-15T06:50:57Z</dcterms:modified>
  <dc:title>关于在“七一”期间开展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