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BE5" w:rsidRPr="00C77BE5" w:rsidRDefault="00C77BE5" w:rsidP="00C77BE5">
      <w:pPr>
        <w:shd w:val="clear" w:color="auto" w:fill="F1F1F1"/>
        <w:adjustRightInd/>
        <w:snapToGrid/>
        <w:spacing w:after="0" w:line="450" w:lineRule="atLeast"/>
        <w:jc w:val="center"/>
        <w:outlineLvl w:val="0"/>
        <w:rPr>
          <w:rFonts w:ascii="宋体" w:eastAsia="宋体" w:hAnsi="宋体" w:cs="宋体"/>
          <w:b/>
          <w:bCs/>
          <w:color w:val="3A3A3A"/>
          <w:kern w:val="36"/>
          <w:sz w:val="36"/>
          <w:szCs w:val="36"/>
        </w:rPr>
      </w:pPr>
      <w:r w:rsidRPr="00C77BE5">
        <w:rPr>
          <w:rFonts w:ascii="宋体" w:eastAsia="宋体" w:hAnsi="宋体" w:cs="宋体" w:hint="eastAsia"/>
          <w:b/>
          <w:bCs/>
          <w:color w:val="3A3A3A"/>
          <w:kern w:val="36"/>
          <w:sz w:val="36"/>
          <w:szCs w:val="36"/>
        </w:rPr>
        <w:t>《国家社会科学基金项目资金管理办法》具体执行有关事项问答</w:t>
      </w:r>
      <w:r w:rsidRPr="00C77BE5">
        <w:rPr>
          <w:rFonts w:ascii="宋体" w:eastAsia="宋体" w:hAnsi="宋体" w:cs="宋体" w:hint="eastAsia"/>
          <w:b/>
          <w:bCs/>
          <w:color w:val="3A3A3A"/>
          <w:kern w:val="36"/>
          <w:sz w:val="36"/>
          <w:szCs w:val="36"/>
        </w:rPr>
        <w:br/>
      </w:r>
      <w:r w:rsidRPr="00C77BE5">
        <w:rPr>
          <w:rFonts w:ascii="宋体" w:eastAsia="宋体" w:hAnsi="宋体" w:cs="宋体" w:hint="eastAsia"/>
          <w:b/>
          <w:bCs/>
          <w:color w:val="3A3A3A"/>
          <w:kern w:val="36"/>
          <w:sz w:val="36"/>
          <w:szCs w:val="36"/>
        </w:rPr>
        <w:br/>
        <w:t>（2016年9月）</w:t>
      </w:r>
    </w:p>
    <w:p w:rsidR="00C77BE5" w:rsidRPr="00C77BE5" w:rsidRDefault="00C77BE5" w:rsidP="00C77BE5">
      <w:pPr>
        <w:pBdr>
          <w:bottom w:val="single" w:sz="6" w:space="8" w:color="DFECEE"/>
        </w:pBdr>
        <w:shd w:val="clear" w:color="auto" w:fill="F1F1F1"/>
        <w:adjustRightInd/>
        <w:snapToGrid/>
        <w:spacing w:after="0" w:line="324" w:lineRule="atLeast"/>
        <w:jc w:val="center"/>
        <w:outlineLvl w:val="3"/>
        <w:rPr>
          <w:rFonts w:ascii="宋体" w:eastAsia="宋体" w:hAnsi="宋体" w:cs="宋体"/>
          <w:color w:val="005BA2"/>
          <w:sz w:val="18"/>
          <w:szCs w:val="18"/>
        </w:rPr>
      </w:pPr>
      <w:r w:rsidRPr="00C77BE5">
        <w:rPr>
          <w:rFonts w:ascii="宋体" w:eastAsia="宋体" w:hAnsi="宋体" w:cs="宋体" w:hint="eastAsia"/>
          <w:color w:val="005BA2"/>
          <w:sz w:val="18"/>
          <w:szCs w:val="18"/>
        </w:rPr>
        <w:t>  2016年09月27日11:57  </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近日，财政部、全国社科规划领导小组联合修订印发了《国家社会科学基金项目资金管理办法（财教〔2016〕304号，以下简称《资金管理办法》）。为了帮助社科界广大专家学者、项目责任单位和有关管理部门更好地理解和执行《资金管理办法》，现就国家社科基金项目资金使用和管理中需要注意的问题解答如下。</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b/>
          <w:bCs/>
          <w:color w:val="000000"/>
          <w:sz w:val="21"/>
        </w:rPr>
        <w:t>一、把项目资金分为直接费用和间接费用的主要考虑是什么？</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资金管理办法》的最大变化之一是把项目资金分为直接费用和间接费用。近些年来，社科界不少专家学者和项目责任单位反映，原《经费管理办法》对责任单位间接成本和管理费用的补偿不足，承担研究任务的科研人员也难以从项目经费中获得激励。现《资金管理办法》以间接费用形式完善了对责任单位间接成本和管理费用的补偿，</w:t>
      </w:r>
      <w:r w:rsidRPr="00C03037">
        <w:rPr>
          <w:rFonts w:ascii="宋体" w:eastAsia="宋体" w:hAnsi="宋体" w:cs="宋体" w:hint="eastAsia"/>
          <w:color w:val="000000"/>
          <w:sz w:val="21"/>
          <w:szCs w:val="21"/>
          <w:highlight w:val="yellow"/>
        </w:rPr>
        <w:t>以绩效支出形式提供了对科研人员的激励。</w:t>
      </w:r>
      <w:r w:rsidRPr="00C77BE5">
        <w:rPr>
          <w:rFonts w:ascii="宋体" w:eastAsia="宋体" w:hAnsi="宋体" w:cs="宋体" w:hint="eastAsia"/>
          <w:color w:val="000000"/>
          <w:sz w:val="21"/>
          <w:szCs w:val="21"/>
        </w:rPr>
        <w:t>这有利于进一步营造良好科研环境，激发社科界广大专家学者的积极性和创造性，更好地推动哲学社会科学繁荣发展。</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b/>
          <w:bCs/>
          <w:color w:val="000000"/>
          <w:sz w:val="21"/>
        </w:rPr>
        <w:t>二、直接费用包括哪些开支科目，如何管理和使用？</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直接费用是指在项目研究过程中发生的与之直接相关的费用，根据资金用途不同，具体分为8个开支科目：资料费、数据采集费、会议费/差旅费/国际合作交流费、设备费、专家咨询费、劳务费、印刷出版费和其他支出。直接费用所有开支科目均不设比例限制，由项目负责人按照项目研究实际需要编制，并按照国家有关规定开支。直接费用纳入责任单位财务统一管理，单独核算，专款专用。</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b/>
          <w:bCs/>
          <w:color w:val="000000"/>
          <w:sz w:val="21"/>
        </w:rPr>
        <w:t>三、哪些费用可以列支资料费？</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项目研究过程中需要支付的图书（包括外文图书）购置费，资料收集、整理、复印、翻拍、翻译费，专用软件购买费，文献检索费等，均可列支</w:t>
      </w:r>
      <w:r w:rsidRPr="003D5F56">
        <w:rPr>
          <w:rFonts w:ascii="宋体" w:eastAsia="宋体" w:hAnsi="宋体" w:cs="宋体" w:hint="eastAsia"/>
          <w:color w:val="000000"/>
          <w:sz w:val="21"/>
          <w:szCs w:val="21"/>
          <w:highlight w:val="yellow"/>
        </w:rPr>
        <w:t>资料费</w:t>
      </w:r>
      <w:r w:rsidRPr="00C77BE5">
        <w:rPr>
          <w:rFonts w:ascii="宋体" w:eastAsia="宋体" w:hAnsi="宋体" w:cs="宋体" w:hint="eastAsia"/>
          <w:color w:val="000000"/>
          <w:sz w:val="21"/>
          <w:szCs w:val="21"/>
        </w:rPr>
        <w:t>。相比原《经费管理办法》，资料费开支范围增加了文献检索费，并明确纳入外文图书购置费。</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b/>
          <w:bCs/>
          <w:color w:val="000000"/>
          <w:sz w:val="21"/>
        </w:rPr>
        <w:t>四、数据采集费开支范围有哪些？</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数据采集费指在项目研究过程中发生的调查、访谈、数据购买、数据分析及相应技术服务购买等支出的费用。一般而言，社会科学各学科研究需要进行数据采集，既包括直接收集一手数据，也包括购买二手数据及相应的数据分析服务。相比原《经费管理办法》，数据采集费开支范围增加了数据购买、数据分析及相应技术服务购买支出。</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b/>
          <w:bCs/>
          <w:color w:val="000000"/>
          <w:sz w:val="21"/>
        </w:rPr>
        <w:t>五、会议费/差旅费/国际合作与交流费如何使用?</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1.把原《经费管理办法》会议费、差旅费、国际合作与交流费合并为一个科目，项目研究过程中开展学术研讨、咨询交流、考察调研等活动而发生的会议、交通、食宿等费用，</w:t>
      </w:r>
      <w:r w:rsidRPr="00C77BE5">
        <w:rPr>
          <w:rFonts w:ascii="宋体" w:eastAsia="宋体" w:hAnsi="宋体" w:cs="宋体" w:hint="eastAsia"/>
          <w:color w:val="000000"/>
          <w:sz w:val="21"/>
          <w:szCs w:val="21"/>
        </w:rPr>
        <w:lastRenderedPageBreak/>
        <w:t>以及项目研究人员出国及赴港澳台、外国专家来华及港澳台专家来内地开展学术合作与交流的费用，均可列支。</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2.会议费/差旅费/国际合作与交流费由项目负责人按照项目研究实际需要编制预算。这三项费用合计不超过直接费用20%的，不需要提供预算测算依据；超过直接费用20%的，需要对计划开展的会议、调研、国际合作与交流等所需经费情况作出具体说明。</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3.会议费/差旅费/国际合作与交流费应当按照国家对于高校和科研院所差旅、会议、出国管理有关规定和标准开支。为了准确编制预算，该科目可大体分为会议费、差旅费、国际合作与交流费三个子项，但在经费使用过程中，完全由项目负责人自主统筹使用。</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b/>
          <w:bCs/>
          <w:color w:val="000000"/>
          <w:sz w:val="21"/>
        </w:rPr>
        <w:t>六、开支设备费应当注意什么？</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1.项目研究过程中购置设备和设备耗材、升级维护现有设备以及租用外单位设备而发生的费用，可列支设备费。</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2.设备费开支应当与项目研究密切相关，严格控制设备购置，严禁重复购置、过度购置，鼓励共享、租赁以及对现有设备进行升级。</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3.设备要和办公用品区别开来，一般来说，电脑、打印机、复印机、数码相机及其耗材等属于设备，笔墨纸张、文件夹等属于办公用品。</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4.使用项目资金购置的设备属于国有资产，按照国有资产管理有关规定统一管理。</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b/>
          <w:bCs/>
          <w:color w:val="000000"/>
          <w:sz w:val="21"/>
        </w:rPr>
        <w:t>七、什么是专家咨询费，对支付对象有何要求？</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专家咨询费是指在项目研究过程中支付给临时聘请的咨询专家的费用，支出标准应当按照国家有关规定执行。一般来说，支出咨询费需满足两个条件：一是支付对象确实属于项目研究领域的专家；二是支付对象切实发挥了咨询作用，推动了项目研究的顺利开展。需要注意的是，专家咨询费</w:t>
      </w:r>
      <w:r w:rsidRPr="003D5F56">
        <w:rPr>
          <w:rFonts w:ascii="宋体" w:eastAsia="宋体" w:hAnsi="宋体" w:cs="宋体" w:hint="eastAsia"/>
          <w:color w:val="000000"/>
          <w:sz w:val="21"/>
          <w:szCs w:val="21"/>
          <w:highlight w:val="yellow"/>
        </w:rPr>
        <w:t>不得支付给本课题组成员以及履行项目管理职务行为的相关工作人员。</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b/>
          <w:bCs/>
          <w:color w:val="000000"/>
          <w:sz w:val="21"/>
        </w:rPr>
        <w:t>八、劳务费开支范围有何变化，标准如何确定？</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资金管理办法》扩大了劳务费开支范围，在参与项目研究的在校研究生等人员的基础上，增加了博士后、访问学者、项目聘用研究人员和科研辅助人员，并将临时聘用人员的社会保险补助费用纳入劳务费开支范围。同时规定，劳务费预算不设比例限制，按照项目研究实际需要编制。项目聘用人员的劳务费开支标准参照当地科学研究和技术服务业人员平均工资水平以及在项目研究中承担的工作任务确定。</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对以上规定应当全面准确理解：第一，劳务费支付对象必须直接参与项目研究或者参与调查访谈、考古发掘、科学实验等科研辅助活动。第二，劳务费支付对象包括研究生、博士后、访问学者以及项目聘用的研究人员、科研辅助人员等。第三，项目负责人应当综合考虑项目研究实际需要，科学合理编制劳务费预算。</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b/>
          <w:bCs/>
          <w:color w:val="000000"/>
          <w:sz w:val="21"/>
        </w:rPr>
        <w:t>九、支出印刷出版费有什么要求？</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在项目研究过程中支付的打印费、印刷费及阶段性成果出版费，可列支印刷出版费。需要注意的是，</w:t>
      </w:r>
      <w:r w:rsidRPr="003D5F56">
        <w:rPr>
          <w:rFonts w:ascii="宋体" w:eastAsia="宋体" w:hAnsi="宋体" w:cs="宋体" w:hint="eastAsia"/>
          <w:color w:val="FF0000"/>
          <w:sz w:val="21"/>
          <w:szCs w:val="21"/>
        </w:rPr>
        <w:t>国家社科基金项目资金不得支出论文发表版面费，</w:t>
      </w:r>
      <w:r w:rsidRPr="00C77BE5">
        <w:rPr>
          <w:rFonts w:ascii="宋体" w:eastAsia="宋体" w:hAnsi="宋体" w:cs="宋体" w:hint="eastAsia"/>
          <w:color w:val="000000"/>
          <w:sz w:val="21"/>
          <w:szCs w:val="21"/>
        </w:rPr>
        <w:t>此类支出不得列支印刷</w:t>
      </w:r>
      <w:r w:rsidRPr="00C77BE5">
        <w:rPr>
          <w:rFonts w:ascii="宋体" w:eastAsia="宋体" w:hAnsi="宋体" w:cs="宋体" w:hint="eastAsia"/>
          <w:color w:val="000000"/>
          <w:sz w:val="21"/>
          <w:szCs w:val="21"/>
        </w:rPr>
        <w:lastRenderedPageBreak/>
        <w:t>出版费。另外，除后期资助项目、中华学术外译项目外，国家社科基金其他类别项目的最终成果出版费也不得列支印刷出版费。</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b/>
          <w:bCs/>
          <w:color w:val="000000"/>
          <w:sz w:val="21"/>
        </w:rPr>
        <w:t>十、其他支出如何列支？</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其他支出属于项目预算的“兜底科目”，项目研究过程中发生的除上述7个科目之外的其他支出均可列支。需注意两个问题：一是其他支出中的各项具体支出应当在填报项目预算时单独列示，单独核定。二是其他支出一般包括笔墨纸张等办公用品费、通讯费、互联网服务费等支出。</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b/>
          <w:bCs/>
          <w:color w:val="000000"/>
          <w:sz w:val="21"/>
        </w:rPr>
        <w:t>十一、间接费用如何核定和使用？</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1.间接费用使用包括三个方面，即补偿责任单位为项目研究提供的现有仪器设备及房屋、水、电、气、暖消耗等间接成本，管理费用，以及为提高科研工作绩效而安排的绩效支出。间接费用由责任单位结合实际情况，在综合考虑单位与个人、当前与长远、激励与约束等关系的基础上，统筹管理使用。</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2.间接费用采用分段超额累退比例法计算，按照不超过项目资助总额的一定比例核定。具体比例如下：50万元及以下部分为30%；超过50万元至500万元的部分为20%；超过500万元的部分为13%。比如，2016年年度项目、青年项目和西部项目资助总额均为20万元，间接费用为20×30%=6（万元）；重大项目资助总额为80万元，间接费用为50×30%+（80-50）×20%=21（万元）。</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3.间接费用核定与责任单位信用等级挂钩，具体管理规定在《资金管理办法》实施一段时间以后，根据工作需要另行制定。</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4.责任单位不得在核定的间接费用以外再以任何名义在项目资金中重复提取、列支相关费用。</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b/>
          <w:bCs/>
          <w:color w:val="000000"/>
          <w:sz w:val="21"/>
        </w:rPr>
        <w:t>十二、绩效支出如何核定？</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绩效支出由责任单位在核定的间接费用范围内安排。责任单位在核定绩效支出时需注意以下几点：第一，要处理好间接成本和绩效支出的关系，在制定本单位间接费用使用和管理相关制度时，应充分听取科研人员的意见，防止片面化、简单化。第二，坚持公平公正，绩效奖励应当与科研人员在项目工作中的实际贡献相一致。第三，坚持分期安排，要结合项目研究进度和完成质量来安排绩效支出，发挥好绩效支出的奖优惩怠作用。</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b/>
          <w:bCs/>
          <w:color w:val="000000"/>
          <w:sz w:val="21"/>
        </w:rPr>
        <w:t>十三、项目资金预算编制和审核程序是怎样的？</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1．国家社科基金项目批准立项后，全国社科规划办将发出立项通知和项目资金预算表。项目负责人应当在收到立项通知之日起30日内完成预算编制。无特殊情况，逾期不提交的，视为自动放弃资助。</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2.项目负责人应当按照目标相关性、政策相符性和经济合理性原则，根据项目研究需要和资金开支范围，科学合理、实事求是地编制项目预算，并按要求在项目预算表相应栏目说明主要用途和测算理由。编制预算时，不考虑不可预见因素、前期投入、预留资金及配套经费。</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lastRenderedPageBreak/>
        <w:t>3.责任单位科研和财务管理部门对项目预算进行审核，按要求填写相关内容，报所在省区市社科规划办或在京委托管理机构审核后，提交全国社科规划办审核。</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4.项目资金预算通过审核后，即成为有约束力的项目资金使用和管理依据，项目负责人应当严格执行，不能随意变更。项目资金预算未通过审核的，应当按要求调整后重新上报。</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b/>
          <w:bCs/>
          <w:color w:val="000000"/>
          <w:sz w:val="21"/>
        </w:rPr>
        <w:t>十四、项目资金如何支付？</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国家社科基金项目资金的资金支付执行国库集中支付制度。属于政府采购范围的，应当按照政府采购有关规定执行。项目资金按照项目类别和完成期限分期分批支付。项目资金实行预留资金制度，预留部分资金在项目成果通过审核验收后支付，2016年项目资金预留比例为5%。未通过审核验收的项目，预留资金不予支付。</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十五、项目资金能否外拨，如何外拨？</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1.跨单位合作的项目，确需外拨资金的，应当在项目预算中单独列示，并附外拨资金直接费用支出预算。外拨多个单位的，需分别编制预算。</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2.间接费用外拨金额，由责任单位和合作研究单位协商确定，但责任单位间接费用和外拨间接费用之和不得超过该项目核定的间接费用。</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3.责任单位应当及时按照合作研究协议和审核通过的项目预算转拨合作研究单位资金。接受外拨资金的合作研究单位是外拨资金管理的责任主体，应当依据《资金管理办法》对资金使用予以管理和监督。</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b/>
          <w:bCs/>
          <w:color w:val="000000"/>
          <w:sz w:val="21"/>
        </w:rPr>
        <w:t>十六、项目预算如何调剂？</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项目负责人应当严格执行批准后的项目预算。确需调剂的，应当按规定报批。考虑到科学研究的探索性和不确定性，《资金管理办法》规定，在项目预算总额不变的情况下，除增列外拨资金以外的所有预算调剂审批事项全部下放到项目责任单位，但会议费/差旅费/国际合作与交流费、专家咨询费、劳务费预算一般不予调增，如有特殊情况确需调增的，应报全国社科规划办审批。责任单位应当按规定及时审批或上报项目预算调剂申请。</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b/>
          <w:bCs/>
          <w:color w:val="000000"/>
          <w:sz w:val="21"/>
        </w:rPr>
        <w:t>十七、项目资金如何支出和报销？</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责任单位和项目负责人要严格执行《关于中央财政科研项目使用公务卡结算有关事项的通知》（财库[2015]245号）对应当实行 “公务卡”结算的支出，按照中央财政科研项目使用公务卡结算的有关规定执行。专家咨询费、劳务费等支出，原则上应当通过银行转账方式结算，从严控制现金支出事项。</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对于野外考察、数据采集等科研活动中无法取得发票或财政性票据的支出，在确保真实性的前提下，责任单位可按实际发生额予以报销。报销此类费用，应当提供具有收款人签名或手印的凭证以及项目负责人对相关情况的书面说明。</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b/>
          <w:bCs/>
          <w:color w:val="000000"/>
          <w:sz w:val="21"/>
        </w:rPr>
        <w:t>十八、项目决算应当注意什么？</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1.项目研究完成后，项目负责人应当会同科研、财务、审计、资产等管理部门及时清理账目与资产，如实编制《国家社会科学基金项目结项审批书》中的项目决算表，并附上</w:t>
      </w:r>
      <w:r w:rsidRPr="00C77BE5">
        <w:rPr>
          <w:rFonts w:ascii="宋体" w:eastAsia="宋体" w:hAnsi="宋体" w:cs="宋体" w:hint="eastAsia"/>
          <w:color w:val="000000"/>
          <w:sz w:val="21"/>
          <w:szCs w:val="21"/>
        </w:rPr>
        <w:lastRenderedPageBreak/>
        <w:t>财务部门提供的项目资金开支明细账。项目负责人和责任单位不得随意调账变动支出、随意修改记账凭证。</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2. 有外拨资金的项目，由项目负责人汇总编制项目资金决算，并附上合作研究单位财务、审计部门审核签章后的开支明细账。</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3.项目负责人提交项目资金决算时，应当附上项目预算表及有关项目预算调剂情况的说明。</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b/>
          <w:bCs/>
          <w:color w:val="000000"/>
          <w:sz w:val="21"/>
        </w:rPr>
        <w:t>十九、项目结余资金如何处理？</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项目研究成果完成并通过审核验收后，剩余的项目资金为结余资金。结余资金留在责任单位，可用于项目最终成果出版及后续研究的直接支出。若项目研究成果通过审核验收2年后结余资金仍有剩余的，应当按原渠道退回。项目成果未通过审核验收的项目，或责任单位信用评价差的，结余资金不得留用。</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b/>
          <w:bCs/>
          <w:color w:val="000000"/>
          <w:sz w:val="21"/>
        </w:rPr>
        <w:t>二十、项目被终止或撤销后，项目资金如何处理？</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对于因故被终止执行的项目的结余资金，以及因故被撤销的项目的已拨资金，责任单位应当在接到有关通知后30日内按原渠道退回国家社科基金。</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b/>
          <w:bCs/>
          <w:color w:val="000000"/>
          <w:sz w:val="21"/>
        </w:rPr>
        <w:t>二十一、使用项目资金形成的资产如何管理？</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项目实施过程中，使用项目资金形成的固定资产、无形资产等属于国有资产，应当按照国有资产管理的有关规定执行。</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b/>
          <w:bCs/>
          <w:color w:val="000000"/>
          <w:sz w:val="21"/>
        </w:rPr>
        <w:t>二十二、项目负责人使用项目资金有何禁止性规定？</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项目负责人应当依法依规使用项目资金，严格遵守“四不得”原则：</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1.不得擅自调整外拨资金；</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2.不得利用虚假票据套取资金；</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3.不得通过编造虚假劳务合同、虚构人员名单等方式虚报冒领劳务费和专家咨询费；</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4.不得使用项目资金支付各种罚款、捐款、赞助、投资等。</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b/>
          <w:bCs/>
          <w:color w:val="000000"/>
          <w:sz w:val="21"/>
        </w:rPr>
        <w:t>二十三、责任单位应当承担哪些管理和服务职责？</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责任单位要认真落实国家有关政策规定，按照权责一致的要求，强化自我约束和自我规范，在服务中加强管理、在管理中做好服务，确保“接得住、管得好”。</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1.责任单位应当制定项目资金内部管理办法，明确审批程序、管理要求和报销规定，落实项目预算调剂、间接费用统筹使用、劳务费分配管理、结余资金使用等管理权限，切实做到有规可依、有序可循，事有人管、责有人负。</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2.责任单位应当加强项目预算审核把关，规范财务支出行为，完善内部风险防控机制，强化资金使用绩效评价，保障资金使用安全规范有效。</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3.责任单位应当建立健全科研财务助理制度，为科研人员在项目预算编制和调剂、经费支出、项目资金决算和验收等方面提供专业化服务。</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4.责任单位应当充分利用信息化手段，建立健全单位内部科研、财务、项目负责人共享的信息平台，提高科研管理效率和便利化程度。</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lastRenderedPageBreak/>
        <w:t>5.责任单位项目资金管理和使用情况，要自觉接受国家财政、审计、监察部门和全国社科规划办的监督检查。责任单位应当积极配合，如实反映情况，提供有关资料。</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b/>
          <w:bCs/>
          <w:color w:val="000000"/>
          <w:sz w:val="21"/>
        </w:rPr>
        <w:t>二十四、各省区市社科规划办和在京委托管理机构应当承担哪些管理职责？</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在国家社科基金项目三级管理体制中，各省区市社科规划办和在京委托管理机构对本地区本系统项目资金依法合规使用，担负着重要的管理职责。</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1.加强项目预算审核，按照科学、合理、真实的原则，严格审核每年新立项目的资金预算，对审核不合格的项目预算，指出存在的问题，及时退回重新编制；审核合格的，按时报送全国社科规划办。</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2.严格审核项目决算，对照项目预算仔细核对决算，对存在未附财务明细账、决算与预算严重不符、资金使用违规等问题的，及时退回并要求整改。</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3.注重资金日常管理，根据各自实际，对本地区本系统责任单位和项目负责人的资金使用和管理情况进行不定期检查或专项审计。发现问题的，应当及时督促整改，并向全国社科规划办报告。</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b/>
          <w:bCs/>
          <w:color w:val="000000"/>
          <w:sz w:val="21"/>
        </w:rPr>
        <w:t>二十五、《资金管理办法》在建立健全监管机制方面有哪些新的举措？</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1.建立项目资金使用和管理情况的检查、审计、监督长效机制，建立项目资金绩效评价和结果应用制度，加强项目资金使用效益评估。</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2.建立项目资金使用和管理的承诺机制，责任单位应当承诺依法依规履行项目资金管理的职责，项目负责人应当承诺提供真实的项目信息并认真遵守项目资金管理的有关规定。</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3.建立项目资金使用和管理的信用机制，全国社科规划办对责任单位和项目负责人在项目资金使用和管理方面的信誉度进行评价和记录，作为对责任单位信用评级和对项目负责人绩效考评以及今后资助的重要依据。</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4.建立项目资金使用和管理的信息公开机制，责任单位和项目负责人应当在单位内部公开项目预算、预算调剂、决算、项目组人员构成、设备购置、外拨资金、劳务费发放以及间接费用和结余资金使用等情况，自觉接受监督。</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b/>
          <w:bCs/>
          <w:color w:val="000000"/>
          <w:sz w:val="21"/>
        </w:rPr>
        <w:t>二十六、对违规行为如何处理？</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《资金管理办法》规定，违反本办法规定的，依照《预算法》、《财政违法行为处罚处分条例》等国家有关规定追究法律责任。涉嫌犯罪的，依法移送司法机关处理。</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为了规范和加强国家社科基金项目资金管理，全国社科规划办从2011年开始连续5年组织第三方机构对项目资金预算执行、使用审批、财务审核报销、固定资产管理和结余资金使用等情况进行全面独立审计，发现了一些突出问题，包括以虚假发票报销、支出与项目研究无关费用、课题组成员违规领取劳务费和专家咨询费、支付立项前费用、未经审批对外转拨资金、超预算支出等。各被审计单位按照全国社科规划办要求进行严格整改，对相关责任人员采取了追回违规支出、诫勉谈话、通报批评、撤销行政职务等处理措施，对涉嫌违纪或违法犯罪的，移交纪委或司法机关处理。今后，全国社科规划办将依据《资金管理办法》，继续对项目资金使用和管理情况开展审计。</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b/>
          <w:bCs/>
          <w:color w:val="000000"/>
          <w:sz w:val="21"/>
        </w:rPr>
        <w:t>二十七、《资金管理办法》适用范围是什么？</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lastRenderedPageBreak/>
        <w:t>1.《资金管理办法》自2016年9月7日起施行，适用于2016年（含）以后批准立项的国家社科基金各项目类型，以及教育学、艺术学、军事学三个单列学科。国家社科基金其他资助，未制定相关办法的，适用本办法。</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2.2015年（含）以前立项的在研项目，区分以下两种情况：一是《资金管理办法》发布时，项目执行期已结束、进入审核验收环节的项目，按照原《经费管理办法》执行，不作调整。二是尚在执行期内的项目，由责任单位统筹考虑本单位实际情况，并与项目负责人充分协商后，在项目预算总额不变的前提下，自主选择间接费用和绩效支出安排、预算科目调剂等事项是否执行《资金管理办法》。如执行新规定，需履行单位内部有关调整审批程序，并符合预算调剂的有关规定。特别是新增间接费用的，责任单位应当逐一征求项目负责人的意见，按按照有关管理规定将项目资金自行分解为直接费用和间接费用。</w:t>
      </w:r>
    </w:p>
    <w:p w:rsidR="00C77BE5" w:rsidRPr="00C77BE5" w:rsidRDefault="00C77BE5" w:rsidP="00C77BE5">
      <w:pPr>
        <w:shd w:val="clear" w:color="auto" w:fill="F1F1F1"/>
        <w:adjustRightInd/>
        <w:snapToGrid/>
        <w:spacing w:after="0" w:line="378" w:lineRule="atLeast"/>
        <w:ind w:firstLine="480"/>
        <w:rPr>
          <w:rFonts w:ascii="宋体" w:eastAsia="宋体" w:hAnsi="宋体" w:cs="宋体"/>
          <w:color w:val="000000"/>
          <w:sz w:val="21"/>
          <w:szCs w:val="21"/>
        </w:rPr>
      </w:pPr>
      <w:r w:rsidRPr="00C77BE5">
        <w:rPr>
          <w:rFonts w:ascii="宋体" w:eastAsia="宋体" w:hAnsi="宋体" w:cs="宋体" w:hint="eastAsia"/>
          <w:color w:val="000000"/>
          <w:sz w:val="21"/>
          <w:szCs w:val="21"/>
        </w:rPr>
        <w:t>3.2015年（含）以前立项的在研项目，确需增列外拨资金的，应当按程序报全国社科规划办审批。在研项目的外拨资金，不包含间接费用或管理费。 </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0D9" w:rsidRDefault="004040D9" w:rsidP="00C77BE5">
      <w:pPr>
        <w:spacing w:after="0"/>
      </w:pPr>
      <w:r>
        <w:separator/>
      </w:r>
    </w:p>
  </w:endnote>
  <w:endnote w:type="continuationSeparator" w:id="0">
    <w:p w:rsidR="004040D9" w:rsidRDefault="004040D9" w:rsidP="00C77BE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0D9" w:rsidRDefault="004040D9" w:rsidP="00C77BE5">
      <w:pPr>
        <w:spacing w:after="0"/>
      </w:pPr>
      <w:r>
        <w:separator/>
      </w:r>
    </w:p>
  </w:footnote>
  <w:footnote w:type="continuationSeparator" w:id="0">
    <w:p w:rsidR="004040D9" w:rsidRDefault="004040D9" w:rsidP="00C77BE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2290"/>
  </w:hdrShapeDefaults>
  <w:footnotePr>
    <w:footnote w:id="-1"/>
    <w:footnote w:id="0"/>
  </w:footnotePr>
  <w:endnotePr>
    <w:endnote w:id="-1"/>
    <w:endnote w:id="0"/>
  </w:endnotePr>
  <w:compat>
    <w:useFELayout/>
  </w:compat>
  <w:rsids>
    <w:rsidRoot w:val="00D31D50"/>
    <w:rsid w:val="00216E63"/>
    <w:rsid w:val="002A0125"/>
    <w:rsid w:val="00323B43"/>
    <w:rsid w:val="003A088E"/>
    <w:rsid w:val="003D37D8"/>
    <w:rsid w:val="003D5F56"/>
    <w:rsid w:val="004040D9"/>
    <w:rsid w:val="00426133"/>
    <w:rsid w:val="004358AB"/>
    <w:rsid w:val="00706C91"/>
    <w:rsid w:val="008B7726"/>
    <w:rsid w:val="00945853"/>
    <w:rsid w:val="00C03037"/>
    <w:rsid w:val="00C77BE5"/>
    <w:rsid w:val="00D31D50"/>
    <w:rsid w:val="00F14F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C77BE5"/>
    <w:pPr>
      <w:adjustRightInd/>
      <w:snapToGrid/>
      <w:spacing w:before="100" w:beforeAutospacing="1" w:after="100" w:afterAutospacing="1"/>
      <w:outlineLvl w:val="0"/>
    </w:pPr>
    <w:rPr>
      <w:rFonts w:ascii="宋体" w:eastAsia="宋体" w:hAnsi="宋体" w:cs="宋体"/>
      <w:b/>
      <w:bCs/>
      <w:kern w:val="36"/>
      <w:sz w:val="48"/>
      <w:szCs w:val="48"/>
    </w:rPr>
  </w:style>
  <w:style w:type="paragraph" w:styleId="4">
    <w:name w:val="heading 4"/>
    <w:basedOn w:val="a"/>
    <w:link w:val="4Char"/>
    <w:uiPriority w:val="9"/>
    <w:qFormat/>
    <w:rsid w:val="00C77BE5"/>
    <w:pPr>
      <w:adjustRightInd/>
      <w:snapToGrid/>
      <w:spacing w:before="100" w:beforeAutospacing="1" w:after="100" w:afterAutospacing="1"/>
      <w:outlineLvl w:val="3"/>
    </w:pPr>
    <w:rPr>
      <w:rFonts w:ascii="宋体" w:eastAsia="宋体" w:hAnsi="宋体" w:cs="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7BE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C77BE5"/>
    <w:rPr>
      <w:rFonts w:ascii="Tahoma" w:hAnsi="Tahoma"/>
      <w:sz w:val="18"/>
      <w:szCs w:val="18"/>
    </w:rPr>
  </w:style>
  <w:style w:type="paragraph" w:styleId="a4">
    <w:name w:val="footer"/>
    <w:basedOn w:val="a"/>
    <w:link w:val="Char0"/>
    <w:uiPriority w:val="99"/>
    <w:semiHidden/>
    <w:unhideWhenUsed/>
    <w:rsid w:val="00C77BE5"/>
    <w:pPr>
      <w:tabs>
        <w:tab w:val="center" w:pos="4153"/>
        <w:tab w:val="right" w:pos="8306"/>
      </w:tabs>
    </w:pPr>
    <w:rPr>
      <w:sz w:val="18"/>
      <w:szCs w:val="18"/>
    </w:rPr>
  </w:style>
  <w:style w:type="character" w:customStyle="1" w:styleId="Char0">
    <w:name w:val="页脚 Char"/>
    <w:basedOn w:val="a0"/>
    <w:link w:val="a4"/>
    <w:uiPriority w:val="99"/>
    <w:semiHidden/>
    <w:rsid w:val="00C77BE5"/>
    <w:rPr>
      <w:rFonts w:ascii="Tahoma" w:hAnsi="Tahoma"/>
      <w:sz w:val="18"/>
      <w:szCs w:val="18"/>
    </w:rPr>
  </w:style>
  <w:style w:type="character" w:customStyle="1" w:styleId="1Char">
    <w:name w:val="标题 1 Char"/>
    <w:basedOn w:val="a0"/>
    <w:link w:val="1"/>
    <w:uiPriority w:val="9"/>
    <w:rsid w:val="00C77BE5"/>
    <w:rPr>
      <w:rFonts w:ascii="宋体" w:eastAsia="宋体" w:hAnsi="宋体" w:cs="宋体"/>
      <w:b/>
      <w:bCs/>
      <w:kern w:val="36"/>
      <w:sz w:val="48"/>
      <w:szCs w:val="48"/>
    </w:rPr>
  </w:style>
  <w:style w:type="character" w:customStyle="1" w:styleId="4Char">
    <w:name w:val="标题 4 Char"/>
    <w:basedOn w:val="a0"/>
    <w:link w:val="4"/>
    <w:uiPriority w:val="9"/>
    <w:rsid w:val="00C77BE5"/>
    <w:rPr>
      <w:rFonts w:ascii="宋体" w:eastAsia="宋体" w:hAnsi="宋体" w:cs="宋体"/>
      <w:b/>
      <w:bCs/>
      <w:sz w:val="24"/>
      <w:szCs w:val="24"/>
    </w:rPr>
  </w:style>
  <w:style w:type="paragraph" w:styleId="a5">
    <w:name w:val="Normal (Web)"/>
    <w:basedOn w:val="a"/>
    <w:uiPriority w:val="99"/>
    <w:semiHidden/>
    <w:unhideWhenUsed/>
    <w:rsid w:val="00C77BE5"/>
    <w:pPr>
      <w:adjustRightInd/>
      <w:snapToGrid/>
      <w:spacing w:before="100" w:beforeAutospacing="1" w:after="100" w:afterAutospacing="1"/>
    </w:pPr>
    <w:rPr>
      <w:rFonts w:ascii="宋体" w:eastAsia="宋体" w:hAnsi="宋体" w:cs="宋体"/>
      <w:sz w:val="24"/>
      <w:szCs w:val="24"/>
    </w:rPr>
  </w:style>
  <w:style w:type="character" w:styleId="a6">
    <w:name w:val="Strong"/>
    <w:basedOn w:val="a0"/>
    <w:uiPriority w:val="22"/>
    <w:qFormat/>
    <w:rsid w:val="00C77BE5"/>
    <w:rPr>
      <w:b/>
      <w:bCs/>
    </w:rPr>
  </w:style>
</w:styles>
</file>

<file path=word/webSettings.xml><?xml version="1.0" encoding="utf-8"?>
<w:webSettings xmlns:r="http://schemas.openxmlformats.org/officeDocument/2006/relationships" xmlns:w="http://schemas.openxmlformats.org/wordprocessingml/2006/main">
  <w:divs>
    <w:div w:id="89754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1041</Words>
  <Characters>5936</Characters>
  <Application>Microsoft Office Word</Application>
  <DocSecurity>0</DocSecurity>
  <Lines>49</Lines>
  <Paragraphs>13</Paragraphs>
  <ScaleCrop>false</ScaleCrop>
  <Company/>
  <LinksUpToDate>false</LinksUpToDate>
  <CharactersWithSpaces>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2016-10-08T01:41:00Z</dcterms:created>
  <dcterms:modified xsi:type="dcterms:W3CDTF">2016-12-08T08:08:00Z</dcterms:modified>
</cp:coreProperties>
</file>