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28" w:type="dxa"/>
          <w:bottom w:w="0" w:type="dxa"/>
          <w:right w:w="28" w:type="dxa"/>
        </w:tblCellMar>
      </w:tblPr>
      <w:tblGrid>
        <w:gridCol w:w="6702"/>
        <w:gridCol w:w="2218"/>
      </w:tblGrid>
      <w:tr>
        <w:tblPrEx>
          <w:tblCellMar>
            <w:top w:w="0" w:type="dxa"/>
            <w:left w:w="28" w:type="dxa"/>
            <w:bottom w:w="0" w:type="dxa"/>
            <w:right w:w="28" w:type="dxa"/>
          </w:tblCellMar>
        </w:tblPrEx>
        <w:trPr>
          <w:trHeight w:val="483" w:hRule="exact"/>
        </w:trPr>
        <w:tc>
          <w:tcPr>
            <w:tcW w:w="8920" w:type="dxa"/>
            <w:gridSpan w:val="2"/>
            <w:noWrap w:val="0"/>
            <w:vAlign w:val="center"/>
          </w:tcPr>
          <w:p>
            <w:pPr>
              <w:adjustRightInd w:val="0"/>
              <w:snapToGrid w:val="0"/>
              <w:spacing w:before="100" w:beforeAutospacing="1" w:after="100" w:afterAutospacing="1"/>
              <w:ind w:right="502" w:rightChars="157"/>
              <w:textAlignment w:val="bottom"/>
              <w:rPr>
                <w:rFonts w:hint="eastAsia" w:ascii="黑体" w:hAnsi="黑体" w:eastAsia="黑体"/>
                <w:sz w:val="32"/>
                <w:szCs w:val="36"/>
                <w:lang w:eastAsia="zh-CN"/>
              </w:rPr>
            </w:pPr>
            <w:bookmarkStart w:id="0" w:name="PO_fhj"/>
            <w:r>
              <w:rPr>
                <w:rFonts w:hint="eastAsia" w:ascii="黑体" w:hAnsi="黑体" w:eastAsia="黑体"/>
                <w:sz w:val="32"/>
                <w:szCs w:val="36"/>
                <w:lang w:eastAsia="zh-CN"/>
              </w:rPr>
              <w:t xml:space="preserve"> </w:t>
            </w:r>
            <w:bookmarkEnd w:id="0"/>
          </w:p>
          <w:p>
            <w:pPr>
              <w:adjustRightInd w:val="0"/>
              <w:snapToGrid w:val="0"/>
              <w:spacing w:before="100" w:beforeAutospacing="1" w:after="100" w:afterAutospacing="1"/>
              <w:ind w:right="502" w:rightChars="157"/>
              <w:textAlignment w:val="bottom"/>
              <w:rPr>
                <w:rFonts w:hint="eastAsia" w:ascii="黑体" w:hAnsi="黑体" w:eastAsia="黑体"/>
                <w:sz w:val="32"/>
                <w:szCs w:val="36"/>
              </w:rPr>
            </w:pPr>
          </w:p>
        </w:tc>
      </w:tr>
      <w:tr>
        <w:tblPrEx>
          <w:tblCellMar>
            <w:top w:w="0" w:type="dxa"/>
            <w:left w:w="28" w:type="dxa"/>
            <w:bottom w:w="0" w:type="dxa"/>
            <w:right w:w="28" w:type="dxa"/>
          </w:tblCellMar>
        </w:tblPrEx>
        <w:trPr>
          <w:trHeight w:val="1632" w:hRule="exact"/>
        </w:trPr>
        <w:tc>
          <w:tcPr>
            <w:tcW w:w="8920" w:type="dxa"/>
            <w:gridSpan w:val="2"/>
            <w:noWrap w:val="0"/>
            <w:vAlign w:val="center"/>
          </w:tcPr>
          <w:p>
            <w:pPr>
              <w:adjustRightInd w:val="0"/>
              <w:snapToGrid w:val="0"/>
              <w:spacing w:before="100" w:beforeAutospacing="1" w:after="100" w:afterAutospacing="1"/>
              <w:ind w:right="502" w:rightChars="157"/>
              <w:textAlignment w:val="bottom"/>
              <w:rPr>
                <w:rFonts w:eastAsia="黑体"/>
                <w:sz w:val="32"/>
                <w:szCs w:val="32"/>
              </w:rPr>
            </w:pPr>
          </w:p>
        </w:tc>
      </w:tr>
      <w:tr>
        <w:tblPrEx>
          <w:tblCellMar>
            <w:top w:w="0" w:type="dxa"/>
            <w:left w:w="28" w:type="dxa"/>
            <w:bottom w:w="0" w:type="dxa"/>
            <w:right w:w="28" w:type="dxa"/>
          </w:tblCellMar>
        </w:tblPrEx>
        <w:trPr>
          <w:trHeight w:val="1560" w:hRule="atLeast"/>
        </w:trPr>
        <w:tc>
          <w:tcPr>
            <w:tcW w:w="6702" w:type="dxa"/>
            <w:noWrap w:val="0"/>
            <w:vAlign w:val="center"/>
          </w:tcPr>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w w:val="50"/>
                <w:sz w:val="84"/>
                <w:szCs w:val="84"/>
                <w:lang w:eastAsia="zh-CN"/>
              </w:rPr>
            </w:pPr>
            <w:bookmarkStart w:id="1" w:name="PO_fhead1"/>
            <w:r>
              <w:rPr>
                <w:rFonts w:hint="eastAsia" w:ascii="方正小标宋简体" w:eastAsia="方正小标宋简体"/>
                <w:b/>
                <w:bCs/>
                <w:color w:val="FF0000"/>
                <w:w w:val="50"/>
                <w:sz w:val="84"/>
                <w:szCs w:val="84"/>
                <w:lang w:eastAsia="zh-CN"/>
              </w:rPr>
              <w:t>福建省财政厅</w:t>
            </w:r>
          </w:p>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w w:val="50"/>
                <w:sz w:val="84"/>
                <w:szCs w:val="84"/>
                <w:lang w:eastAsia="zh-CN"/>
              </w:rPr>
            </w:pPr>
            <w:r>
              <w:rPr>
                <w:rFonts w:hint="eastAsia" w:ascii="方正小标宋简体" w:eastAsia="方正小标宋简体"/>
                <w:b/>
                <w:bCs/>
                <w:color w:val="FF0000"/>
                <w:w w:val="50"/>
                <w:sz w:val="84"/>
                <w:szCs w:val="84"/>
                <w:lang w:eastAsia="zh-CN"/>
              </w:rPr>
              <w:t>福建省哲学社会科学规划领导小组</w:t>
            </w:r>
            <w:bookmarkEnd w:id="1"/>
          </w:p>
        </w:tc>
        <w:tc>
          <w:tcPr>
            <w:tcW w:w="2218" w:type="dxa"/>
            <w:noWrap w:val="0"/>
            <w:vAlign w:val="center"/>
          </w:tcPr>
          <w:p>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PO_fhead2"/>
            <w:r>
              <w:rPr>
                <w:rFonts w:hint="eastAsia" w:ascii="方正小标宋简体" w:eastAsia="方正小标宋简体" w:cs="宋体"/>
                <w:b/>
                <w:bCs/>
                <w:color w:val="FF0000"/>
                <w:spacing w:val="52"/>
                <w:sz w:val="84"/>
                <w:szCs w:val="84"/>
              </w:rPr>
              <w:t>文件</w:t>
            </w:r>
            <w:bookmarkEnd w:id="2"/>
          </w:p>
        </w:tc>
      </w:tr>
      <w:tr>
        <w:tblPrEx>
          <w:tblCellMar>
            <w:top w:w="0" w:type="dxa"/>
            <w:left w:w="28" w:type="dxa"/>
            <w:bottom w:w="0" w:type="dxa"/>
            <w:right w:w="28" w:type="dxa"/>
          </w:tblCellMar>
        </w:tblPrEx>
        <w:trPr>
          <w:trHeight w:val="931" w:hRule="exact"/>
        </w:trPr>
        <w:tc>
          <w:tcPr>
            <w:tcW w:w="8920" w:type="dxa"/>
            <w:gridSpan w:val="2"/>
            <w:noWrap w:val="0"/>
            <w:vAlign w:val="bottom"/>
          </w:tcPr>
          <w:p>
            <w:pPr>
              <w:adjustRightInd w:val="0"/>
              <w:snapToGrid w:val="0"/>
              <w:spacing w:before="120" w:line="318" w:lineRule="atLeast"/>
              <w:ind w:right="339" w:firstLine="256" w:firstLineChars="80"/>
              <w:jc w:val="center"/>
              <w:textAlignment w:val="bottom"/>
              <w:rPr>
                <w:rFonts w:hint="eastAsia" w:ascii="仿宋" w:hAnsi="仿宋" w:eastAsia="仿宋"/>
                <w:lang w:eastAsia="zh-CN"/>
              </w:rPr>
            </w:pPr>
            <w:bookmarkStart w:id="3" w:name="PO_fwh"/>
            <w:r>
              <w:rPr>
                <w:rFonts w:hint="eastAsia" w:ascii="仿宋" w:hAnsi="仿宋" w:eastAsia="仿宋" w:cs="仿宋"/>
                <w:sz w:val="32"/>
                <w:szCs w:val="36"/>
                <w:lang w:eastAsia="zh-CN"/>
              </w:rPr>
              <w:t>闽财政研〔</w:t>
            </w:r>
            <w:r>
              <w:rPr>
                <w:rFonts w:hint="eastAsia" w:ascii="仿宋" w:hAnsi="仿宋" w:eastAsia="仿宋" w:cs="仿宋"/>
                <w:sz w:val="32"/>
                <w:szCs w:val="36"/>
                <w:lang w:val="en-US" w:eastAsia="zh-CN"/>
              </w:rPr>
              <w:t>2021</w:t>
            </w:r>
            <w:r>
              <w:rPr>
                <w:rFonts w:hint="eastAsia" w:ascii="仿宋" w:hAnsi="仿宋" w:eastAsia="仿宋" w:cs="仿宋"/>
                <w:sz w:val="32"/>
                <w:szCs w:val="36"/>
                <w:lang w:eastAsia="zh-CN"/>
              </w:rPr>
              <w:t>〕</w:t>
            </w:r>
            <w:r>
              <w:rPr>
                <w:rFonts w:hint="eastAsia" w:ascii="仿宋" w:hAnsi="仿宋" w:eastAsia="仿宋" w:cs="仿宋"/>
                <w:sz w:val="32"/>
                <w:szCs w:val="36"/>
                <w:lang w:val="en-US" w:eastAsia="zh-CN"/>
              </w:rPr>
              <w:t>6号</w:t>
            </w:r>
            <w:r>
              <w:rPr>
                <w:rFonts w:hint="eastAsia" w:ascii="仿宋" w:hAnsi="仿宋" w:eastAsia="仿宋" w:cs="仿宋"/>
                <w:sz w:val="32"/>
                <w:szCs w:val="36"/>
                <w:lang w:eastAsia="zh-CN"/>
              </w:rPr>
              <w:t xml:space="preserve"> </w:t>
            </w:r>
            <w:bookmarkEnd w:id="3"/>
          </w:p>
        </w:tc>
      </w:tr>
      <w:tr>
        <w:tblPrEx>
          <w:tblCellMar>
            <w:top w:w="0" w:type="dxa"/>
            <w:left w:w="28" w:type="dxa"/>
            <w:bottom w:w="0" w:type="dxa"/>
            <w:right w:w="28" w:type="dxa"/>
          </w:tblCellMar>
        </w:tblPrEx>
        <w:trPr>
          <w:trHeight w:val="92" w:hRule="exact"/>
        </w:trPr>
        <w:tc>
          <w:tcPr>
            <w:tcW w:w="8920" w:type="dxa"/>
            <w:gridSpan w:val="2"/>
            <w:noWrap w:val="0"/>
            <w:vAlign w:val="top"/>
          </w:tcPr>
          <w:p>
            <w:pPr>
              <w:adjustRightInd w:val="0"/>
              <w:snapToGrid w:val="0"/>
              <w:spacing w:line="240" w:lineRule="exact"/>
              <w:jc w:val="center"/>
              <w:rPr>
                <w:rFonts w:ascii="仿宋" w:hAnsi="仿宋" w:cs="宋体"/>
                <w:sz w:val="10"/>
                <w:szCs w:val="10"/>
              </w:rPr>
            </w:pPr>
            <w:bookmarkStart w:id="4" w:name="PO_fline"/>
            <w:r>
              <w:rPr>
                <w:rFonts w:ascii="仿宋" w:hAnsi="仿宋" w:cs="宋体"/>
                <w:sz w:val="10"/>
                <w:szCs w:val="10"/>
              </w:rPr>
              <w:pict>
                <v:line id="_x0000_s1026" o:spid="_x0000_s1026" o:spt="20" style="position:absolute;left:0pt;margin-top:5.65pt;height:0pt;width:441.05pt;mso-position-horizontal:center;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4"/>
          </w:p>
        </w:tc>
      </w:tr>
    </w:tbl>
    <w:p>
      <w:pPr>
        <w:rPr>
          <w:rFonts w:hint="eastAsia" w:ascii="仿宋" w:hAnsi="仿宋" w:eastAsia="仿宋" w:cs="仿宋"/>
          <w:sz w:val="32"/>
          <w:szCs w:val="36"/>
        </w:rPr>
      </w:pPr>
    </w:p>
    <w:p>
      <w:pPr>
        <w:rPr>
          <w:rFonts w:hint="eastAsia" w:ascii="仿宋" w:hAnsi="仿宋" w:eastAsia="仿宋"/>
          <w:sz w:val="32"/>
          <w:szCs w:val="32"/>
        </w:rPr>
      </w:pPr>
    </w:p>
    <w:p>
      <w:pPr>
        <w:snapToGrid w:val="0"/>
        <w:jc w:val="center"/>
        <w:rPr>
          <w:rFonts w:hint="eastAsia" w:ascii="方正小标宋简体" w:hAnsi="仿宋" w:eastAsia="方正小标宋简体"/>
          <w:sz w:val="44"/>
          <w:szCs w:val="44"/>
          <w:lang w:eastAsia="zh-CN"/>
        </w:rPr>
      </w:pPr>
      <w:bookmarkStart w:id="5" w:name="PO_fbt"/>
      <w:r>
        <w:rPr>
          <w:rFonts w:hint="eastAsia" w:ascii="方正小标宋简体" w:hAnsi="仿宋" w:eastAsia="方正小标宋简体"/>
          <w:spacing w:val="-17"/>
          <w:sz w:val="44"/>
          <w:szCs w:val="44"/>
          <w:lang w:eastAsia="zh-CN"/>
        </w:rPr>
        <w:t xml:space="preserve">福建省财政厅 福建省哲学社会科学规划领导小组 </w:t>
      </w:r>
      <w:r>
        <w:rPr>
          <w:rFonts w:hint="eastAsia" w:ascii="方正小标宋简体" w:hAnsi="仿宋" w:eastAsia="方正小标宋简体"/>
          <w:sz w:val="44"/>
          <w:szCs w:val="44"/>
          <w:lang w:eastAsia="zh-CN"/>
        </w:rPr>
        <w:t>关于印发《福建省社会科学基金</w:t>
      </w:r>
    </w:p>
    <w:p>
      <w:pPr>
        <w:snapToGrid w:val="0"/>
        <w:jc w:val="center"/>
        <w:rPr>
          <w:rFonts w:hint="eastAsia" w:ascii="宋体" w:hAnsi="宋体" w:eastAsia="方正小标宋简体" w:cs="宋体"/>
          <w:sz w:val="44"/>
          <w:szCs w:val="44"/>
          <w:lang w:eastAsia="zh-CN"/>
        </w:rPr>
      </w:pPr>
      <w:r>
        <w:rPr>
          <w:rFonts w:hint="eastAsia" w:ascii="方正小标宋简体" w:hAnsi="仿宋" w:eastAsia="方正小标宋简体"/>
          <w:sz w:val="44"/>
          <w:szCs w:val="44"/>
          <w:lang w:eastAsia="zh-CN"/>
        </w:rPr>
        <w:t>项目经费管理办法》的通知</w:t>
      </w:r>
      <w:bookmarkEnd w:id="5"/>
    </w:p>
    <w:p>
      <w:pPr>
        <w:rPr>
          <w:rFonts w:hint="eastAsia" w:ascii="仿宋" w:hAnsi="仿宋" w:eastAsia="仿宋"/>
          <w:sz w:val="32"/>
          <w:szCs w:val="36"/>
        </w:rPr>
      </w:pPr>
    </w:p>
    <w:p>
      <w:pPr>
        <w:ind w:firstLine="0" w:firstLineChars="0"/>
        <w:jc w:val="left"/>
      </w:pPr>
      <w:bookmarkStart w:id="6" w:name="PO_fzs"/>
      <w:r>
        <w:rPr>
          <w:rFonts w:hint="eastAsia" w:ascii="仿宋" w:hAnsi="仿宋" w:eastAsia="仿宋"/>
          <w:sz w:val="32"/>
          <w:szCs w:val="36"/>
          <w:lang w:eastAsia="zh-CN"/>
        </w:rPr>
        <w:t>省直有关单位，各设区市财政局、平潭综合实验区财政金融局，各高校、党校、社科研究机构，省哲学社会科学规划领导小组办公室</w:t>
      </w:r>
      <w:bookmarkEnd w:id="6"/>
      <w:r>
        <w:rPr>
          <w:rFonts w:hint="eastAsia" w:ascii="仿宋" w:hAnsi="仿宋" w:eastAsia="仿宋"/>
          <w:sz w:val="32"/>
          <w:szCs w:val="36"/>
        </w:rPr>
        <w:t>：</w:t>
      </w:r>
    </w:p>
    <w:p>
      <w:pPr>
        <w:ind w:firstLine="640" w:firstLineChars="200"/>
        <w:rPr>
          <w:rFonts w:hint="eastAsia" w:ascii="仿宋" w:hAnsi="仿宋" w:eastAsia="仿宋" w:cs="仿宋"/>
          <w:sz w:val="32"/>
          <w:szCs w:val="32"/>
        </w:rPr>
      </w:pPr>
      <w:bookmarkStart w:id="7" w:name="PO_zw"/>
      <w:bookmarkEnd w:id="7"/>
      <w:r>
        <w:rPr>
          <w:rFonts w:hint="eastAsia" w:ascii="仿宋" w:hAnsi="仿宋" w:eastAsia="仿宋" w:cs="Times New Roman"/>
          <w:color w:val="auto"/>
          <w:sz w:val="32"/>
          <w:szCs w:val="32"/>
          <w:lang w:val="en-US" w:eastAsia="zh-CN"/>
        </w:rPr>
        <w:t>为了规范福建省社会科学基金项目经费的使用和管理，提高经费使用效益，更好推动福建省哲学社会科学繁荣发展，省财政厅、省哲学社会科学规划领导小组联合修订了《福建省社会科学基金项目经费管理办法》。现印发给你们，请遵照执行。</w:t>
      </w:r>
    </w:p>
    <w:p>
      <w:pPr>
        <w:rPr>
          <w:rFonts w:hint="eastAsia" w:ascii="仿宋" w:hAnsi="仿宋" w:eastAsia="仿宋"/>
          <w:color w:val="000000"/>
          <w:sz w:val="32"/>
          <w:szCs w:val="32"/>
          <w:lang w:eastAsia="zh-CN"/>
        </w:rPr>
      </w:pPr>
    </w:p>
    <w:tbl>
      <w:tblPr>
        <w:tblStyle w:val="6"/>
        <w:tblW w:w="5000" w:type="pct"/>
        <w:tblInd w:w="0" w:type="dxa"/>
        <w:tblLayout w:type="autofit"/>
        <w:tblCellMar>
          <w:top w:w="0" w:type="dxa"/>
          <w:left w:w="108" w:type="dxa"/>
          <w:bottom w:w="0" w:type="dxa"/>
          <w:right w:w="108" w:type="dxa"/>
        </w:tblCellMar>
      </w:tblPr>
      <w:tblGrid>
        <w:gridCol w:w="3923"/>
        <w:gridCol w:w="5138"/>
      </w:tblGrid>
      <w:tr>
        <w:tblPrEx>
          <w:tblCellMar>
            <w:top w:w="0" w:type="dxa"/>
            <w:left w:w="108" w:type="dxa"/>
            <w:bottom w:w="0" w:type="dxa"/>
            <w:right w:w="108" w:type="dxa"/>
          </w:tblCellMar>
        </w:tblPrEx>
        <w:trPr>
          <w:trHeight w:val="624" w:hRule="atLeast"/>
        </w:trPr>
        <w:tc>
          <w:tcPr>
            <w:tcW w:w="2165" w:type="pct"/>
            <w:noWrap w:val="0"/>
            <w:vAlign w:val="center"/>
          </w:tcPr>
          <w:p>
            <w:pPr>
              <w:spacing w:line="560" w:lineRule="exact"/>
              <w:jc w:val="center"/>
              <w:rPr>
                <w:rFonts w:hint="eastAsia" w:ascii="仿宋" w:hAnsi="仿宋" w:eastAsia="仿宋" w:cs="仿宋"/>
                <w:color w:val="000000"/>
                <w:sz w:val="32"/>
                <w:szCs w:val="32"/>
              </w:rPr>
            </w:pPr>
            <w:bookmarkStart w:id="8" w:name="PO_fyz"/>
            <w:bookmarkEnd w:id="8"/>
            <w:bookmarkStart w:id="9" w:name="PO_ffj"/>
            <w:bookmarkEnd w:id="9"/>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lang w:eastAsia="zh-CN"/>
              </w:rPr>
            </w:pPr>
            <w:bookmarkStart w:id="10" w:name="PO_fsm1"/>
            <w:r>
              <w:rPr>
                <w:rFonts w:hint="eastAsia" w:ascii="仿宋" w:hAnsi="仿宋" w:eastAsia="仿宋" w:cs="仿宋"/>
                <w:color w:val="000000"/>
                <w:sz w:val="32"/>
                <w:szCs w:val="32"/>
                <w:lang w:eastAsia="zh-CN"/>
              </w:rPr>
              <w:t>福建省财政厅</w:t>
            </w:r>
            <w:bookmarkEnd w:id="10"/>
          </w:p>
        </w:tc>
        <w:tc>
          <w:tcPr>
            <w:tcW w:w="2834" w:type="pct"/>
            <w:noWrap w:val="0"/>
            <w:vAlign w:val="center"/>
          </w:tcPr>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bookmarkStart w:id="11" w:name="PO_fsm2"/>
            <w:r>
              <w:rPr>
                <w:rFonts w:hint="eastAsia" w:ascii="仿宋" w:hAnsi="仿宋" w:eastAsia="仿宋" w:cs="仿宋"/>
                <w:color w:val="000000"/>
                <w:sz w:val="32"/>
                <w:szCs w:val="32"/>
                <w:lang w:val="en-US" w:eastAsia="zh-CN"/>
              </w:rPr>
              <w:t>福建省哲学社会科学规划领导小组</w:t>
            </w:r>
            <w:bookmarkEnd w:id="11"/>
          </w:p>
        </w:tc>
      </w:tr>
      <w:tr>
        <w:tblPrEx>
          <w:tblCellMar>
            <w:top w:w="0" w:type="dxa"/>
            <w:left w:w="108" w:type="dxa"/>
            <w:bottom w:w="0" w:type="dxa"/>
            <w:right w:w="108" w:type="dxa"/>
          </w:tblCellMar>
        </w:tblPrEx>
        <w:trPr>
          <w:trHeight w:val="308" w:hRule="atLeast"/>
        </w:trPr>
        <w:tc>
          <w:tcPr>
            <w:tcW w:w="5000" w:type="pct"/>
            <w:gridSpan w:val="2"/>
            <w:noWrap w:val="0"/>
            <w:vAlign w:val="bottom"/>
          </w:tcPr>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color w:val="000000"/>
                <w:sz w:val="32"/>
                <w:szCs w:val="32"/>
                <w:lang w:val="en-US"/>
              </w:rPr>
            </w:pPr>
            <w:bookmarkStart w:id="12" w:name="PO_fqfrq"/>
            <w:r>
              <w:rPr>
                <w:rFonts w:hint="eastAsia" w:ascii="仿宋" w:hAnsi="仿宋" w:eastAsia="仿宋" w:cs="仿宋"/>
                <w:color w:val="000000"/>
                <w:sz w:val="32"/>
                <w:szCs w:val="32"/>
                <w:lang w:val="en-US" w:eastAsia="zh-CN"/>
              </w:rPr>
              <w:t>2021年12月17日</w:t>
            </w:r>
            <w:bookmarkEnd w:id="12"/>
            <w:r>
              <w:rPr>
                <w:rFonts w:hint="eastAsia" w:ascii="仿宋" w:hAnsi="仿宋" w:eastAsia="仿宋" w:cs="仿宋"/>
                <w:color w:val="000000"/>
                <w:sz w:val="32"/>
                <w:szCs w:val="32"/>
                <w:lang w:val="en-US" w:eastAsia="zh-CN"/>
              </w:rPr>
              <w:t xml:space="preserve">       </w:t>
            </w:r>
          </w:p>
        </w:tc>
      </w:tr>
    </w:tbl>
    <w:p>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w:t>
      </w:r>
      <w:bookmarkStart w:id="13" w:name="PO_ffz"/>
      <w:r>
        <w:rPr>
          <w:rFonts w:hint="eastAsia" w:ascii="仿宋" w:hAnsi="仿宋" w:eastAsia="仿宋" w:cs="仿宋"/>
          <w:color w:val="000000"/>
          <w:sz w:val="32"/>
          <w:szCs w:val="32"/>
          <w:lang w:eastAsia="zh-CN"/>
        </w:rPr>
        <w:t xml:space="preserve"> </w:t>
      </w:r>
      <w:bookmarkEnd w:id="13"/>
    </w:p>
    <w:p>
      <w:pPr>
        <w:rPr>
          <w:rFonts w:hint="eastAsia" w:ascii="仿宋" w:hAnsi="仿宋" w:eastAsia="仿宋" w:cs="仿宋"/>
          <w:sz w:val="32"/>
          <w:szCs w:val="36"/>
        </w:rPr>
      </w:pPr>
    </w:p>
    <w:p>
      <w:pPr>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福建省社会科学基金项目经费管理办法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207" w:afterLines="50"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第一条</w:t>
      </w:r>
      <w:r>
        <w:rPr>
          <w:rFonts w:hint="eastAsia" w:ascii="仿宋" w:hAnsi="仿宋" w:eastAsia="仿宋" w:cs="Times New Roman"/>
          <w:color w:val="auto"/>
          <w:sz w:val="32"/>
          <w:szCs w:val="32"/>
          <w:lang w:val="en-US" w:eastAsia="zh-CN"/>
        </w:rPr>
        <w:t xml:space="preserve">  为了规范福建省社会科学基金项目经费（以下简称省社科项目经费）的使用和管理，提高经费使用效益，更好推动福建省哲学社会科学繁荣发展，根据财务管理有关规定和《国务院办公厅关于改革完善中央财政科研经费管理的若干意见》(国办发〔2021〕32号)精神,参照《国家社会科学基金项目资金管理办法》（财教〔2021〕237号），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第二条</w:t>
      </w:r>
      <w:r>
        <w:rPr>
          <w:rFonts w:hint="eastAsia" w:ascii="仿宋" w:hAnsi="仿宋" w:eastAsia="仿宋" w:cs="Times New Roman"/>
          <w:color w:val="auto"/>
          <w:sz w:val="32"/>
          <w:szCs w:val="32"/>
          <w:lang w:val="en-US" w:eastAsia="zh-CN"/>
        </w:rPr>
        <w:t xml:space="preserve">  省社科项目经费来源于省财政拨款，是用于资助福建省哲学社会科学研究，促进哲学社会科学学科发展、人才培养和队伍建设的专项经费。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第三条</w:t>
      </w:r>
      <w:r>
        <w:rPr>
          <w:rFonts w:hint="eastAsia" w:ascii="仿宋" w:hAnsi="仿宋" w:eastAsia="仿宋" w:cs="Times New Roman"/>
          <w:color w:val="auto"/>
          <w:sz w:val="32"/>
          <w:szCs w:val="32"/>
          <w:lang w:val="en-US" w:eastAsia="zh-CN"/>
        </w:rPr>
        <w:t xml:space="preserve">  省社科项目经费管理，应当以出优秀成果、出优秀人才为目标，坚持以人为本、遵循规律、依法规范、公正合理和安全高效的原则，突出理论创新和实际贡献，在简政放权的同时，注重规范管理、改进服务，为科研人员潜心研究创造良好条件和宽松环境，充分激发科研人员的积极性和创造性。</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第四条</w:t>
      </w:r>
      <w:r>
        <w:rPr>
          <w:rFonts w:hint="eastAsia" w:ascii="仿宋" w:hAnsi="仿宋" w:eastAsia="仿宋" w:cs="Times New Roman"/>
          <w:color w:val="auto"/>
          <w:sz w:val="32"/>
          <w:szCs w:val="32"/>
          <w:lang w:val="en-US" w:eastAsia="zh-CN"/>
        </w:rPr>
        <w:t xml:space="preserve">  项目责任单位是项目经费管理的责任主体，负责项目经费的日常管理和监督。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第五条</w:t>
      </w:r>
      <w:r>
        <w:rPr>
          <w:rFonts w:hint="eastAsia" w:ascii="仿宋" w:hAnsi="仿宋" w:eastAsia="仿宋" w:cs="Times New Roman"/>
          <w:color w:val="auto"/>
          <w:sz w:val="32"/>
          <w:szCs w:val="32"/>
          <w:lang w:val="en-US" w:eastAsia="zh-CN"/>
        </w:rPr>
        <w:t xml:space="preserve">  项目负责人是项目经费使用的直接责任人，对经费使用的合规性、合理性、真实性和相关性承担相应责任。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第六条</w:t>
      </w:r>
      <w:r>
        <w:rPr>
          <w:rFonts w:hint="eastAsia" w:ascii="仿宋" w:hAnsi="仿宋" w:eastAsia="仿宋" w:cs="Times New Roman"/>
          <w:color w:val="auto"/>
          <w:sz w:val="32"/>
          <w:szCs w:val="32"/>
          <w:lang w:val="en-US" w:eastAsia="zh-CN"/>
        </w:rPr>
        <w:t xml:space="preserve">  项目经费应当纳入项目承担单位财务统一管理，单独核算，专款专用。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项目经费开支范围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第七条</w:t>
      </w:r>
      <w:r>
        <w:rPr>
          <w:rFonts w:hint="eastAsia" w:ascii="仿宋" w:hAnsi="仿宋" w:eastAsia="仿宋" w:cs="Times New Roman"/>
          <w:color w:val="auto"/>
          <w:sz w:val="32"/>
          <w:szCs w:val="32"/>
          <w:lang w:val="en-US" w:eastAsia="zh-CN"/>
        </w:rPr>
        <w:t xml:space="preserve">  项目经费支出是指在项目组织实施过程中与研究工作相关的、由项目经费支付的各项费用支出。项目经费支出分为直接费用和间接费用。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4"/>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b/>
          <w:bCs/>
          <w:color w:val="auto"/>
          <w:sz w:val="32"/>
          <w:szCs w:val="32"/>
          <w:lang w:val="en-US" w:eastAsia="zh-CN"/>
        </w:rPr>
        <w:t>第八条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w w:val="100"/>
          <w:kern w:val="2"/>
          <w:sz w:val="32"/>
        </w:rPr>
        <w:t>直接费用是指在项目</w:t>
      </w:r>
      <w:r>
        <w:rPr>
          <w:rFonts w:hint="eastAsia" w:ascii="仿宋" w:hAnsi="仿宋" w:eastAsia="仿宋" w:cs="Times New Roman"/>
          <w:color w:val="auto"/>
          <w:spacing w:val="0"/>
          <w:w w:val="100"/>
          <w:kern w:val="2"/>
          <w:sz w:val="32"/>
          <w:lang w:eastAsia="zh-CN"/>
        </w:rPr>
        <w:t>实施</w:t>
      </w:r>
      <w:r>
        <w:rPr>
          <w:rFonts w:hint="eastAsia" w:ascii="仿宋" w:hAnsi="仿宋" w:eastAsia="仿宋" w:cs="Times New Roman"/>
          <w:color w:val="auto"/>
          <w:spacing w:val="0"/>
          <w:w w:val="100"/>
          <w:kern w:val="2"/>
          <w:sz w:val="32"/>
        </w:rPr>
        <w:t>过程中发生的与之直接相关的费用，</w:t>
      </w:r>
      <w:r>
        <w:rPr>
          <w:rFonts w:hint="eastAsia" w:ascii="仿宋" w:hAnsi="仿宋" w:eastAsia="仿宋" w:cs="Times New Roman"/>
          <w:color w:val="auto"/>
          <w:spacing w:val="0"/>
          <w:w w:val="100"/>
          <w:kern w:val="2"/>
          <w:sz w:val="32"/>
          <w:lang w:eastAsia="zh-CN"/>
        </w:rPr>
        <w:t>主要</w:t>
      </w:r>
      <w:r>
        <w:rPr>
          <w:rFonts w:hint="eastAsia" w:ascii="仿宋" w:hAnsi="仿宋" w:eastAsia="仿宋" w:cs="Times New Roman"/>
          <w:color w:val="auto"/>
          <w:spacing w:val="0"/>
          <w:w w:val="100"/>
          <w:kern w:val="2"/>
          <w:sz w:val="32"/>
        </w:rPr>
        <w:t>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rPr>
        <w:t>（一）业务费：指在项目</w:t>
      </w:r>
      <w:r>
        <w:rPr>
          <w:rFonts w:hint="eastAsia" w:ascii="仿宋" w:hAnsi="仿宋" w:eastAsia="仿宋" w:cs="Times New Roman"/>
          <w:color w:val="auto"/>
          <w:spacing w:val="0"/>
          <w:w w:val="100"/>
          <w:kern w:val="2"/>
          <w:sz w:val="32"/>
          <w:lang w:eastAsia="zh-CN"/>
        </w:rPr>
        <w:t>实施</w:t>
      </w:r>
      <w:r>
        <w:rPr>
          <w:rFonts w:hint="eastAsia" w:ascii="仿宋" w:hAnsi="仿宋" w:eastAsia="仿宋" w:cs="Times New Roman"/>
          <w:color w:val="auto"/>
          <w:spacing w:val="0"/>
          <w:w w:val="100"/>
          <w:kern w:val="2"/>
          <w:sz w:val="32"/>
        </w:rPr>
        <w:t>过程中购置图书、收集资料、复印翻拍、检索文献、采集数据、翻译资料、印刷出版、会议/差旅/国际合作与交流等费用，以及其他相关支出。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rPr>
        <w:t>（二）劳务费：指在项目实施过程中支付给参与项目研究的研究生、博士后、访问学者和项目聘用的研究人员、科研辅助人员等的劳务性费用，以及支付给临时聘请的咨询专家的费用等。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rPr>
        <w:t>项目聘用人员的劳务费开支标准，参照当地社科研究从业人员平均工资水平，根据其在项目研究中承担的工作任务确定</w:t>
      </w:r>
      <w:r>
        <w:rPr>
          <w:rFonts w:hint="eastAsia" w:ascii="仿宋" w:hAnsi="仿宋" w:eastAsia="仿宋" w:cs="Times New Roman"/>
          <w:color w:val="auto"/>
          <w:spacing w:val="0"/>
          <w:w w:val="100"/>
          <w:kern w:val="2"/>
          <w:sz w:val="32"/>
          <w:lang w:eastAsia="zh-CN"/>
        </w:rPr>
        <w:t>，</w:t>
      </w:r>
      <w:r>
        <w:rPr>
          <w:rFonts w:hint="eastAsia" w:ascii="仿宋" w:hAnsi="仿宋" w:eastAsia="仿宋" w:cs="Times New Roman"/>
          <w:color w:val="auto"/>
          <w:spacing w:val="0"/>
          <w:w w:val="100"/>
          <w:kern w:val="2"/>
          <w:sz w:val="32"/>
        </w:rPr>
        <w:t>其由单位缴纳的社会保险补助、住房公积金等纳入劳务费科目列支。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rPr>
        <w:t>支付给临时聘请的咨询专家的费用，不得支付给参与本项目及所属课题研究和管理的相关人员</w:t>
      </w:r>
      <w:r>
        <w:rPr>
          <w:rFonts w:hint="eastAsia" w:ascii="仿宋" w:hAnsi="仿宋" w:eastAsia="仿宋" w:cs="Times New Roman"/>
          <w:color w:val="auto"/>
          <w:spacing w:val="0"/>
          <w:w w:val="100"/>
          <w:kern w:val="2"/>
          <w:sz w:val="32"/>
          <w:lang w:eastAsia="zh-CN"/>
        </w:rPr>
        <w:t>，其</w:t>
      </w:r>
      <w:r>
        <w:rPr>
          <w:rFonts w:hint="eastAsia" w:ascii="仿宋" w:hAnsi="仿宋" w:eastAsia="仿宋" w:cs="Times New Roman"/>
          <w:color w:val="auto"/>
          <w:spacing w:val="0"/>
          <w:w w:val="100"/>
          <w:kern w:val="2"/>
          <w:sz w:val="32"/>
        </w:rPr>
        <w:t>管理按照国家有关规定执行。</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lang w:val="en-US" w:eastAsia="zh-CN"/>
        </w:rPr>
      </w:pPr>
      <w:r>
        <w:rPr>
          <w:rFonts w:hint="eastAsia" w:ascii="仿宋" w:hAnsi="仿宋" w:eastAsia="仿宋" w:cs="Times New Roman"/>
          <w:color w:val="auto"/>
          <w:spacing w:val="0"/>
          <w:w w:val="100"/>
          <w:kern w:val="2"/>
          <w:sz w:val="32"/>
          <w:lang w:eastAsia="zh-CN"/>
        </w:rPr>
        <w:t>（三）</w:t>
      </w:r>
      <w:r>
        <w:rPr>
          <w:rFonts w:hint="eastAsia" w:ascii="仿宋" w:hAnsi="仿宋" w:eastAsia="仿宋" w:cs="Times New Roman"/>
          <w:color w:val="auto"/>
          <w:spacing w:val="0"/>
          <w:w w:val="100"/>
          <w:kern w:val="2"/>
          <w:sz w:val="32"/>
        </w:rPr>
        <w:t>设备费：指在项目</w:t>
      </w:r>
      <w:r>
        <w:rPr>
          <w:rFonts w:hint="eastAsia" w:ascii="仿宋" w:hAnsi="仿宋" w:eastAsia="仿宋" w:cs="Times New Roman"/>
          <w:color w:val="auto"/>
          <w:spacing w:val="0"/>
          <w:w w:val="100"/>
          <w:kern w:val="2"/>
          <w:sz w:val="32"/>
          <w:lang w:eastAsia="zh-CN"/>
        </w:rPr>
        <w:t>实施</w:t>
      </w:r>
      <w:r>
        <w:rPr>
          <w:rFonts w:hint="eastAsia" w:ascii="仿宋" w:hAnsi="仿宋" w:eastAsia="仿宋" w:cs="Times New Roman"/>
          <w:color w:val="auto"/>
          <w:spacing w:val="0"/>
          <w:w w:val="100"/>
          <w:kern w:val="2"/>
          <w:sz w:val="32"/>
        </w:rPr>
        <w:t>过程中购置设备和设备耗材、升级维护现有设备以及租用外单位设备而发生的费用。应当严格控制设备购置，鼓励共享、租赁设备以及对现有设备进行升级。</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第九条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w w:val="100"/>
          <w:kern w:val="2"/>
          <w:sz w:val="32"/>
        </w:rPr>
        <w:t>间接费用是指</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责任单位在组织实施项目过程中发生的无法在直接费用中列支的相关费用。主要包括：</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责任单位为项目研究提供的房屋占用，日常水、电、气、暖等消耗，有关管理费用的补助支出，以及激励科研人员的绩效支出等。</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第十条</w:t>
      </w:r>
      <w:r>
        <w:rPr>
          <w:rFonts w:hint="eastAsia" w:ascii="仿宋" w:hAnsi="仿宋" w:eastAsia="仿宋" w:cs="Times New Roman"/>
          <w:color w:val="auto"/>
          <w:sz w:val="32"/>
          <w:szCs w:val="32"/>
          <w:lang w:val="en-US" w:eastAsia="zh-CN"/>
        </w:rPr>
        <w:t xml:space="preserve">  间接费用一般按照不超过项目资助总额的一定比例核定。具体比例如下：20万元及以下部分为40%；超过20万元至50万元的部分30%；超过50万元至500万元的部分为20%。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eastAsia="zh-CN"/>
        </w:rPr>
      </w:pPr>
      <w:r>
        <w:rPr>
          <w:rFonts w:hint="eastAsia" w:ascii="仿宋" w:hAnsi="仿宋" w:eastAsia="仿宋" w:cs="Times New Roman"/>
          <w:color w:val="auto"/>
          <w:spacing w:val="0"/>
          <w:w w:val="100"/>
          <w:kern w:val="2"/>
          <w:sz w:val="32"/>
          <w:lang w:eastAsia="zh-CN"/>
        </w:rPr>
        <w:t>项目成果通过审核验收后</w:t>
      </w:r>
      <w:r>
        <w:rPr>
          <w:rFonts w:hint="eastAsia" w:ascii="仿宋" w:hAnsi="仿宋" w:eastAsia="仿宋" w:cs="Times New Roman"/>
          <w:color w:val="auto"/>
          <w:spacing w:val="0"/>
          <w:w w:val="100"/>
          <w:kern w:val="2"/>
          <w:sz w:val="32"/>
        </w:rPr>
        <w:t>，依据结项等级</w:t>
      </w:r>
      <w:r>
        <w:rPr>
          <w:rFonts w:hint="eastAsia" w:ascii="仿宋" w:hAnsi="仿宋" w:eastAsia="仿宋" w:cs="Times New Roman"/>
          <w:color w:val="auto"/>
          <w:spacing w:val="0"/>
          <w:w w:val="100"/>
          <w:kern w:val="2"/>
          <w:sz w:val="32"/>
          <w:lang w:eastAsia="zh-CN"/>
        </w:rPr>
        <w:t>调整间接费用比例，具体如下：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val="en-US" w:eastAsia="zh-CN"/>
        </w:rPr>
      </w:pPr>
      <w:r>
        <w:rPr>
          <w:rFonts w:hint="eastAsia" w:ascii="仿宋" w:hAnsi="仿宋" w:eastAsia="仿宋" w:cs="Times New Roman"/>
          <w:color w:val="auto"/>
          <w:spacing w:val="0"/>
          <w:w w:val="100"/>
          <w:kern w:val="2"/>
          <w:sz w:val="32"/>
        </w:rPr>
        <w:t>（一）结项等级为“优秀”的，</w:t>
      </w:r>
      <w:r>
        <w:rPr>
          <w:rFonts w:hint="eastAsia" w:ascii="仿宋" w:hAnsi="仿宋" w:eastAsia="仿宋" w:cs="Times New Roman"/>
          <w:color w:val="auto"/>
          <w:spacing w:val="0"/>
          <w:w w:val="100"/>
          <w:kern w:val="2"/>
          <w:sz w:val="32"/>
          <w:lang w:val="en-US" w:eastAsia="zh-CN"/>
        </w:rPr>
        <w:t>20万元及以下部分可提高到不超过60%；</w:t>
      </w:r>
      <w:r>
        <w:rPr>
          <w:rFonts w:hint="eastAsia" w:ascii="仿宋" w:hAnsi="仿宋" w:eastAsia="仿宋" w:cs="Times New Roman"/>
          <w:color w:val="auto"/>
          <w:sz w:val="32"/>
          <w:szCs w:val="32"/>
          <w:lang w:val="en-US" w:eastAsia="zh-CN"/>
        </w:rPr>
        <w:t>超过20万元至50万元的部分</w:t>
      </w:r>
      <w:r>
        <w:rPr>
          <w:rFonts w:hint="eastAsia" w:ascii="仿宋" w:hAnsi="仿宋" w:eastAsia="仿宋" w:cs="Times New Roman"/>
          <w:color w:val="auto"/>
          <w:spacing w:val="0"/>
          <w:w w:val="100"/>
          <w:kern w:val="2"/>
          <w:sz w:val="32"/>
          <w:lang w:val="en-US" w:eastAsia="zh-CN"/>
        </w:rPr>
        <w:t>可提高到不超过50%；</w:t>
      </w:r>
      <w:r>
        <w:rPr>
          <w:rFonts w:hint="eastAsia" w:ascii="仿宋" w:hAnsi="仿宋" w:eastAsia="仿宋" w:cs="Times New Roman"/>
          <w:color w:val="auto"/>
          <w:sz w:val="32"/>
          <w:szCs w:val="32"/>
          <w:lang w:val="en-US" w:eastAsia="zh-CN"/>
        </w:rPr>
        <w:t>超过50万元至500万元的部分</w:t>
      </w:r>
      <w:r>
        <w:rPr>
          <w:rFonts w:hint="eastAsia" w:ascii="仿宋" w:hAnsi="仿宋" w:eastAsia="仿宋" w:cs="Times New Roman"/>
          <w:color w:val="auto"/>
          <w:spacing w:val="0"/>
          <w:w w:val="100"/>
          <w:kern w:val="2"/>
          <w:sz w:val="32"/>
          <w:lang w:val="en-US" w:eastAsia="zh-CN"/>
        </w:rPr>
        <w:t>可提高到不超过40%。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val="en-US" w:eastAsia="zh-CN"/>
        </w:rPr>
      </w:pPr>
      <w:r>
        <w:rPr>
          <w:rFonts w:hint="eastAsia" w:ascii="仿宋" w:hAnsi="仿宋" w:eastAsia="仿宋" w:cs="Times New Roman"/>
          <w:color w:val="auto"/>
          <w:spacing w:val="0"/>
          <w:w w:val="100"/>
          <w:kern w:val="2"/>
          <w:sz w:val="32"/>
        </w:rPr>
        <w:t>（</w:t>
      </w:r>
      <w:r>
        <w:rPr>
          <w:rFonts w:hint="eastAsia" w:ascii="仿宋" w:hAnsi="仿宋" w:eastAsia="仿宋" w:cs="Times New Roman"/>
          <w:color w:val="auto"/>
          <w:spacing w:val="0"/>
          <w:w w:val="100"/>
          <w:kern w:val="2"/>
          <w:sz w:val="32"/>
          <w:lang w:eastAsia="zh-CN"/>
        </w:rPr>
        <w:t>二</w:t>
      </w:r>
      <w:r>
        <w:rPr>
          <w:rFonts w:hint="eastAsia" w:ascii="仿宋" w:hAnsi="仿宋" w:eastAsia="仿宋" w:cs="Times New Roman"/>
          <w:color w:val="auto"/>
          <w:spacing w:val="0"/>
          <w:w w:val="100"/>
          <w:kern w:val="2"/>
          <w:sz w:val="32"/>
        </w:rPr>
        <w:t>）结项等级为“</w:t>
      </w:r>
      <w:r>
        <w:rPr>
          <w:rFonts w:hint="eastAsia" w:ascii="仿宋" w:hAnsi="仿宋" w:eastAsia="仿宋" w:cs="Times New Roman"/>
          <w:color w:val="auto"/>
          <w:spacing w:val="0"/>
          <w:w w:val="100"/>
          <w:kern w:val="2"/>
          <w:sz w:val="32"/>
          <w:lang w:eastAsia="zh-CN"/>
        </w:rPr>
        <w:t>良好</w:t>
      </w:r>
      <w:r>
        <w:rPr>
          <w:rFonts w:hint="eastAsia" w:ascii="仿宋" w:hAnsi="仿宋" w:eastAsia="仿宋" w:cs="Times New Roman"/>
          <w:color w:val="auto"/>
          <w:spacing w:val="0"/>
          <w:w w:val="100"/>
          <w:kern w:val="2"/>
          <w:sz w:val="32"/>
        </w:rPr>
        <w:t>”的，</w:t>
      </w:r>
      <w:r>
        <w:rPr>
          <w:rFonts w:hint="eastAsia" w:ascii="仿宋" w:hAnsi="仿宋" w:eastAsia="仿宋" w:cs="Times New Roman"/>
          <w:color w:val="auto"/>
          <w:spacing w:val="0"/>
          <w:w w:val="100"/>
          <w:kern w:val="2"/>
          <w:sz w:val="32"/>
          <w:lang w:val="en-US" w:eastAsia="zh-CN"/>
        </w:rPr>
        <w:t>20万元及以下部分可提高到不超过50%；</w:t>
      </w:r>
      <w:r>
        <w:rPr>
          <w:rFonts w:hint="eastAsia" w:ascii="仿宋" w:hAnsi="仿宋" w:eastAsia="仿宋" w:cs="Times New Roman"/>
          <w:color w:val="auto"/>
          <w:sz w:val="32"/>
          <w:szCs w:val="32"/>
          <w:lang w:val="en-US" w:eastAsia="zh-CN"/>
        </w:rPr>
        <w:t>超过20万元至50万元的部分</w:t>
      </w:r>
      <w:r>
        <w:rPr>
          <w:rFonts w:hint="eastAsia" w:ascii="仿宋" w:hAnsi="仿宋" w:eastAsia="仿宋" w:cs="Times New Roman"/>
          <w:color w:val="auto"/>
          <w:spacing w:val="0"/>
          <w:w w:val="100"/>
          <w:kern w:val="2"/>
          <w:sz w:val="32"/>
          <w:lang w:val="en-US" w:eastAsia="zh-CN"/>
        </w:rPr>
        <w:t>可提高到不超过40%；</w:t>
      </w:r>
      <w:r>
        <w:rPr>
          <w:rFonts w:hint="eastAsia" w:ascii="仿宋" w:hAnsi="仿宋" w:eastAsia="仿宋" w:cs="Times New Roman"/>
          <w:color w:val="auto"/>
          <w:sz w:val="32"/>
          <w:szCs w:val="32"/>
          <w:lang w:val="en-US" w:eastAsia="zh-CN"/>
        </w:rPr>
        <w:t>超过50万元至500万元的部分</w:t>
      </w:r>
      <w:r>
        <w:rPr>
          <w:rFonts w:hint="eastAsia" w:ascii="仿宋" w:hAnsi="仿宋" w:eastAsia="仿宋" w:cs="Times New Roman"/>
          <w:color w:val="auto"/>
          <w:spacing w:val="0"/>
          <w:w w:val="100"/>
          <w:kern w:val="2"/>
          <w:sz w:val="32"/>
          <w:lang w:val="en-US" w:eastAsia="zh-CN"/>
        </w:rPr>
        <w:t>可提高到不超过30%。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eastAsia="zh-CN"/>
        </w:rPr>
      </w:pPr>
      <w:r>
        <w:rPr>
          <w:rFonts w:hint="eastAsia" w:ascii="仿宋" w:hAnsi="仿宋" w:eastAsia="仿宋" w:cs="Times New Roman"/>
          <w:color w:val="auto"/>
          <w:spacing w:val="0"/>
          <w:w w:val="100"/>
          <w:kern w:val="2"/>
          <w:sz w:val="32"/>
        </w:rPr>
        <w:t>（三）结项等级为“合格”</w:t>
      </w:r>
      <w:r>
        <w:rPr>
          <w:rFonts w:hint="eastAsia" w:ascii="仿宋" w:hAnsi="仿宋" w:eastAsia="仿宋" w:cs="Times New Roman"/>
          <w:color w:val="auto"/>
          <w:spacing w:val="0"/>
          <w:w w:val="100"/>
          <w:kern w:val="2"/>
          <w:sz w:val="32"/>
          <w:lang w:eastAsia="zh-CN"/>
        </w:rPr>
        <w:t>，或</w:t>
      </w:r>
      <w:r>
        <w:rPr>
          <w:rFonts w:hint="eastAsia" w:ascii="仿宋" w:hAnsi="仿宋" w:eastAsia="仿宋" w:cs="Times New Roman"/>
          <w:color w:val="auto"/>
          <w:spacing w:val="0"/>
          <w:w w:val="100"/>
          <w:kern w:val="2"/>
          <w:sz w:val="32"/>
        </w:rPr>
        <w:t>以“免于鉴定”方式结项未分等级的，</w:t>
      </w:r>
      <w:r>
        <w:rPr>
          <w:rFonts w:hint="eastAsia" w:ascii="仿宋" w:hAnsi="仿宋" w:eastAsia="仿宋" w:cs="Times New Roman"/>
          <w:color w:val="auto"/>
          <w:spacing w:val="0"/>
          <w:w w:val="100"/>
          <w:kern w:val="2"/>
          <w:sz w:val="32"/>
          <w:lang w:eastAsia="zh-CN"/>
        </w:rPr>
        <w:t>间接费用比例不再提高。</w:t>
      </w:r>
    </w:p>
    <w:p>
      <w:pPr>
        <w:adjustRightInd w:val="0"/>
        <w:snapToGrid w:val="0"/>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spacing w:val="0"/>
          <w:w w:val="100"/>
          <w:kern w:val="2"/>
          <w:sz w:val="32"/>
          <w:lang w:val="en-US" w:eastAsia="zh-CN"/>
        </w:rPr>
        <w:t xml:space="preserve"> </w:t>
      </w:r>
      <w:r>
        <w:rPr>
          <w:rFonts w:hint="eastAsia" w:ascii="仿宋" w:hAnsi="仿宋" w:eastAsia="仿宋" w:cs="Times New Roman"/>
          <w:color w:val="auto"/>
          <w:kern w:val="2"/>
          <w:sz w:val="32"/>
          <w:szCs w:val="32"/>
          <w:lang w:val="en-US" w:eastAsia="zh-CN" w:bidi="ar-SA"/>
        </w:rPr>
        <w:t>对于科研规模较小的特别委托项目（经费不超过2万元），原则上可采取后补助方式，经验收合格后拨付项目经费，全部作为间接费用使用。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eastAsia="zh-CN"/>
        </w:rPr>
      </w:pPr>
      <w:r>
        <w:rPr>
          <w:rFonts w:hint="eastAsia" w:ascii="仿宋" w:hAnsi="仿宋" w:eastAsia="仿宋" w:cs="Times New Roman"/>
          <w:color w:val="auto"/>
          <w:spacing w:val="0"/>
          <w:w w:val="100"/>
          <w:kern w:val="2"/>
          <w:sz w:val="32"/>
          <w:lang w:eastAsia="zh-CN"/>
        </w:rPr>
        <w:t>项目在研期间，间接费用预算总额不得调增，</w:t>
      </w:r>
      <w:r>
        <w:rPr>
          <w:rFonts w:hint="eastAsia" w:ascii="仿宋" w:hAnsi="仿宋" w:eastAsia="仿宋" w:cs="Times New Roman"/>
          <w:color w:val="auto"/>
          <w:spacing w:val="0"/>
          <w:w w:val="100"/>
          <w:kern w:val="2"/>
          <w:sz w:val="32"/>
        </w:rPr>
        <w:t>项目责任单位与项目负责人协商一致后</w:t>
      </w:r>
      <w:r>
        <w:rPr>
          <w:rFonts w:hint="eastAsia" w:ascii="仿宋" w:hAnsi="仿宋" w:eastAsia="仿宋" w:cs="Times New Roman"/>
          <w:color w:val="auto"/>
          <w:spacing w:val="0"/>
          <w:w w:val="100"/>
          <w:kern w:val="2"/>
          <w:sz w:val="32"/>
          <w:lang w:eastAsia="zh-CN"/>
        </w:rPr>
        <w:t>可调减用于直接费用</w:t>
      </w:r>
      <w:r>
        <w:rPr>
          <w:rFonts w:hint="eastAsia" w:ascii="仿宋" w:hAnsi="仿宋" w:eastAsia="仿宋" w:cs="Times New Roman"/>
          <w:color w:val="auto"/>
          <w:spacing w:val="0"/>
          <w:w w:val="100"/>
          <w:kern w:val="2"/>
          <w:sz w:val="32"/>
        </w:rPr>
        <w:t>。依据</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结项等级确定间接费用比例</w:t>
      </w:r>
      <w:r>
        <w:rPr>
          <w:rFonts w:hint="eastAsia" w:ascii="仿宋" w:hAnsi="仿宋" w:eastAsia="仿宋" w:cs="Times New Roman"/>
          <w:color w:val="auto"/>
          <w:spacing w:val="0"/>
          <w:w w:val="100"/>
          <w:kern w:val="2"/>
          <w:sz w:val="32"/>
          <w:lang w:eastAsia="zh-CN"/>
        </w:rPr>
        <w:t>后，间接费用由</w:t>
      </w:r>
      <w:r>
        <w:rPr>
          <w:rFonts w:hint="eastAsia" w:ascii="仿宋" w:hAnsi="仿宋" w:eastAsia="仿宋" w:cs="Times New Roman"/>
          <w:color w:val="auto"/>
          <w:spacing w:val="0"/>
          <w:w w:val="100"/>
          <w:kern w:val="2"/>
          <w:sz w:val="32"/>
        </w:rPr>
        <w:t>项目负责人从项目经费中调剂安排</w:t>
      </w:r>
      <w:r>
        <w:rPr>
          <w:rFonts w:hint="eastAsia" w:ascii="仿宋" w:hAnsi="仿宋" w:eastAsia="仿宋" w:cs="Times New Roman"/>
          <w:color w:val="auto"/>
          <w:spacing w:val="0"/>
          <w:w w:val="100"/>
          <w:kern w:val="2"/>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第十一条</w:t>
      </w:r>
      <w:r>
        <w:rPr>
          <w:rFonts w:hint="eastAsia" w:ascii="仿宋" w:hAnsi="仿宋" w:eastAsia="仿宋" w:cs="Times New Roman"/>
          <w:color w:val="auto"/>
          <w:sz w:val="32"/>
          <w:szCs w:val="32"/>
          <w:lang w:val="en-US" w:eastAsia="zh-CN"/>
        </w:rPr>
        <w:t xml:space="preserve">  间接费用由责任单位统筹管理使用，并取消绩效支出比例限制。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间接费用核定应当与责任单位信用等级挂钩，具体管理规定由责任单位另行制定。</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责任单位不得在核定的间接费用以外再以任何名义在项目经费中重复提取、列支相关费用。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预算的编制与审核</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第十二条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w w:val="100"/>
          <w:kern w:val="2"/>
          <w:sz w:val="32"/>
        </w:rPr>
        <w:t>项目负责人应当按照目标相关性、政策相符性和经济合理性原则，根据项目研究需要和经费开支范围，科学合理、实事求是地编制项目预算</w:t>
      </w:r>
      <w:r>
        <w:rPr>
          <w:rFonts w:hint="eastAsia" w:ascii="仿宋" w:hAnsi="仿宋" w:eastAsia="仿宋" w:cs="Times New Roman"/>
          <w:color w:val="auto"/>
          <w:spacing w:val="0"/>
          <w:w w:val="100"/>
          <w:kern w:val="2"/>
          <w:sz w:val="32"/>
          <w:lang w:eastAsia="zh-CN"/>
        </w:rPr>
        <w:t>。</w:t>
      </w:r>
      <w:r>
        <w:rPr>
          <w:rFonts w:hint="eastAsia" w:ascii="仿宋" w:hAnsi="仿宋" w:eastAsia="仿宋" w:cs="Times New Roman"/>
          <w:color w:val="auto"/>
          <w:spacing w:val="0"/>
          <w:w w:val="100"/>
          <w:kern w:val="2"/>
          <w:sz w:val="32"/>
        </w:rPr>
        <w:t>直接费用只提供基本测算说明，不需要提供明细。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pacing w:val="0"/>
          <w:w w:val="100"/>
          <w:kern w:val="2"/>
          <w:sz w:val="32"/>
        </w:rPr>
        <w:t>项目负责人应当在收到立项通知之日起30日内完成预算编制。无特殊情况，逾期不提交的，视为自动放弃资助。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第十三条</w:t>
      </w:r>
      <w:r>
        <w:rPr>
          <w:rFonts w:hint="eastAsia" w:ascii="仿宋" w:hAnsi="仿宋" w:eastAsia="仿宋" w:cs="Times New Roman"/>
          <w:color w:val="auto"/>
          <w:sz w:val="32"/>
          <w:szCs w:val="32"/>
          <w:lang w:val="en-US" w:eastAsia="zh-CN"/>
        </w:rPr>
        <w:t xml:space="preserve">  项目预算需在《福建省社会科学基金项目管理系统》中填报，并经责任单位审核通过后，提交福建省哲学社会科学规划办公室（以下简称省社科规划办）审核。未通过审核的，应当按要求调整后重新上报。</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第十四条</w:t>
      </w:r>
      <w:r>
        <w:rPr>
          <w:rFonts w:hint="eastAsia" w:ascii="仿宋" w:hAnsi="仿宋" w:eastAsia="仿宋" w:cs="Times New Roman"/>
          <w:color w:val="auto"/>
          <w:sz w:val="32"/>
          <w:szCs w:val="32"/>
          <w:lang w:val="en-US" w:eastAsia="zh-CN"/>
        </w:rPr>
        <w:t xml:space="preserve">  跨单位合作的项目，确需外拨经费的，应当在项目预算中列示，并写明外拨经费直接费用支出预算。间接费用外拨金额，由责任单位和合作研究单位协商确定。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责任单位应当及时按照合作研究协议和审核通过的项目预算转拨合作研究单位经费。</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预算执行与决算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pacing w:val="0"/>
          <w:sz w:val="32"/>
          <w:lang w:eastAsia="zh-CN"/>
        </w:rPr>
      </w:pPr>
      <w:r>
        <w:rPr>
          <w:rFonts w:hint="eastAsia" w:ascii="仿宋" w:hAnsi="仿宋" w:eastAsia="仿宋" w:cs="Times New Roman"/>
          <w:b/>
          <w:bCs/>
          <w:color w:val="auto"/>
          <w:sz w:val="32"/>
          <w:szCs w:val="32"/>
          <w:lang w:val="en-US" w:eastAsia="zh-CN"/>
        </w:rPr>
        <w:t>第十五条</w:t>
      </w:r>
      <w:r>
        <w:rPr>
          <w:rFonts w:hint="eastAsia" w:ascii="仿宋" w:hAnsi="仿宋" w:eastAsia="仿宋" w:cs="Times New Roman"/>
          <w:color w:val="auto"/>
          <w:sz w:val="32"/>
          <w:szCs w:val="32"/>
          <w:lang w:val="en-US" w:eastAsia="zh-CN"/>
        </w:rPr>
        <w:t xml:space="preserve">  项目负责人应当严格执行批准后的项目预算。</w:t>
      </w:r>
      <w:r>
        <w:rPr>
          <w:rFonts w:hint="eastAsia" w:ascii="仿宋" w:hAnsi="仿宋" w:eastAsia="仿宋" w:cs="Times New Roman"/>
          <w:color w:val="auto"/>
          <w:spacing w:val="0"/>
          <w:sz w:val="32"/>
        </w:rPr>
        <w:t>项目预算有以下情况确需调剂的，由项目负责人提出申请，经</w:t>
      </w:r>
      <w:r>
        <w:rPr>
          <w:rFonts w:hint="eastAsia" w:ascii="仿宋" w:hAnsi="仿宋" w:eastAsia="仿宋" w:cs="Times New Roman"/>
          <w:color w:val="auto"/>
          <w:spacing w:val="0"/>
          <w:sz w:val="32"/>
          <w:lang w:eastAsia="zh-CN"/>
        </w:rPr>
        <w:t>项目</w:t>
      </w:r>
      <w:r>
        <w:rPr>
          <w:rFonts w:hint="eastAsia" w:ascii="仿宋" w:hAnsi="仿宋" w:eastAsia="仿宋" w:cs="Times New Roman"/>
          <w:color w:val="auto"/>
          <w:spacing w:val="0"/>
          <w:sz w:val="32"/>
        </w:rPr>
        <w:t>责任单位</w:t>
      </w:r>
      <w:r>
        <w:rPr>
          <w:rFonts w:hint="eastAsia" w:ascii="仿宋" w:hAnsi="仿宋" w:eastAsia="仿宋" w:cs="Times New Roman"/>
          <w:color w:val="auto"/>
          <w:spacing w:val="0"/>
          <w:sz w:val="32"/>
          <w:lang w:eastAsia="zh-CN"/>
        </w:rPr>
        <w:t>审核</w:t>
      </w:r>
      <w:r>
        <w:rPr>
          <w:rFonts w:hint="eastAsia" w:ascii="仿宋" w:hAnsi="仿宋" w:eastAsia="仿宋" w:cs="Times New Roman"/>
          <w:color w:val="auto"/>
          <w:spacing w:val="0"/>
          <w:sz w:val="32"/>
        </w:rPr>
        <w:t>同意后，报</w:t>
      </w:r>
      <w:r>
        <w:rPr>
          <w:rFonts w:hint="eastAsia" w:ascii="仿宋" w:hAnsi="仿宋" w:eastAsia="仿宋" w:cs="Times New Roman"/>
          <w:color w:val="auto"/>
          <w:spacing w:val="0"/>
          <w:sz w:val="32"/>
          <w:lang w:eastAsia="zh-CN"/>
        </w:rPr>
        <w:t>省社科规划办</w:t>
      </w:r>
      <w:r>
        <w:rPr>
          <w:rFonts w:hint="eastAsia" w:ascii="仿宋" w:hAnsi="仿宋" w:eastAsia="仿宋" w:cs="Times New Roman"/>
          <w:color w:val="auto"/>
          <w:spacing w:val="0"/>
          <w:sz w:val="32"/>
        </w:rPr>
        <w:t>审批</w:t>
      </w:r>
      <w:r>
        <w:rPr>
          <w:rFonts w:hint="eastAsia" w:ascii="仿宋" w:hAnsi="仿宋" w:eastAsia="仿宋" w:cs="Times New Roman"/>
          <w:color w:val="auto"/>
          <w:spacing w:val="0"/>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rPr>
      </w:pPr>
      <w:r>
        <w:rPr>
          <w:rFonts w:hint="eastAsia" w:ascii="仿宋" w:hAnsi="仿宋" w:eastAsia="仿宋" w:cs="Times New Roman"/>
          <w:color w:val="auto"/>
          <w:spacing w:val="0"/>
          <w:sz w:val="32"/>
        </w:rPr>
        <w:t>（一）由于研究内容或者研究计划作出重大调整等原因，需要增加或减少项目预算总额的；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rPr>
      </w:pPr>
      <w:r>
        <w:rPr>
          <w:rFonts w:hint="eastAsia" w:ascii="仿宋" w:hAnsi="仿宋" w:eastAsia="仿宋" w:cs="Times New Roman"/>
          <w:color w:val="auto"/>
          <w:spacing w:val="0"/>
          <w:sz w:val="32"/>
        </w:rPr>
        <w:t>（二）原项目预算未列示外拨经费，需要增列的。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lang w:eastAsia="zh-CN"/>
        </w:rPr>
      </w:pPr>
      <w:r>
        <w:rPr>
          <w:rFonts w:hint="eastAsia" w:ascii="仿宋" w:hAnsi="仿宋" w:eastAsia="仿宋" w:cs="Times New Roman"/>
          <w:color w:val="auto"/>
          <w:spacing w:val="0"/>
          <w:sz w:val="32"/>
          <w:lang w:eastAsia="zh-CN"/>
        </w:rPr>
        <w:t>有以下情况需调剂的，由项目责任单位审批或备案：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rPr>
      </w:pPr>
      <w:r>
        <w:rPr>
          <w:rFonts w:hint="eastAsia" w:ascii="仿宋" w:hAnsi="仿宋" w:eastAsia="仿宋" w:cs="Times New Roman"/>
          <w:color w:val="auto"/>
          <w:spacing w:val="0"/>
          <w:sz w:val="32"/>
        </w:rPr>
        <w:t>（</w:t>
      </w:r>
      <w:r>
        <w:rPr>
          <w:rFonts w:hint="eastAsia" w:ascii="仿宋" w:hAnsi="仿宋" w:eastAsia="仿宋" w:cs="Times New Roman"/>
          <w:color w:val="auto"/>
          <w:spacing w:val="0"/>
          <w:sz w:val="32"/>
          <w:lang w:eastAsia="zh-CN"/>
        </w:rPr>
        <w:t>一</w:t>
      </w:r>
      <w:r>
        <w:rPr>
          <w:rFonts w:hint="eastAsia" w:ascii="仿宋" w:hAnsi="仿宋" w:eastAsia="仿宋" w:cs="Times New Roman"/>
          <w:color w:val="auto"/>
          <w:spacing w:val="0"/>
          <w:sz w:val="32"/>
        </w:rPr>
        <w:t>）设备费预算、外拨经费如需调剂的，由项目负责人根据科研活动的实际需要提出申请，报项目责任单位审批。</w:t>
      </w:r>
    </w:p>
    <w:p>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仿宋" w:hAnsi="仿宋" w:eastAsia="仿宋" w:cs="Times New Roman"/>
          <w:color w:val="auto"/>
          <w:lang w:val="en-US" w:eastAsia="zh-CN"/>
        </w:rPr>
      </w:pPr>
      <w:r>
        <w:rPr>
          <w:rFonts w:hint="eastAsia" w:ascii="仿宋" w:hAnsi="仿宋" w:eastAsia="仿宋" w:cs="Times New Roman"/>
          <w:color w:val="auto"/>
          <w:spacing w:val="0"/>
          <w:sz w:val="32"/>
        </w:rPr>
        <w:t>（</w:t>
      </w:r>
      <w:r>
        <w:rPr>
          <w:rFonts w:hint="eastAsia" w:ascii="仿宋" w:hAnsi="仿宋" w:eastAsia="仿宋" w:cs="Times New Roman"/>
          <w:color w:val="auto"/>
          <w:spacing w:val="0"/>
          <w:sz w:val="32"/>
          <w:lang w:eastAsia="zh-CN"/>
        </w:rPr>
        <w:t>二</w:t>
      </w:r>
      <w:r>
        <w:rPr>
          <w:rFonts w:hint="eastAsia" w:ascii="仿宋" w:hAnsi="仿宋" w:eastAsia="仿宋" w:cs="Times New Roman"/>
          <w:color w:val="auto"/>
          <w:spacing w:val="0"/>
          <w:sz w:val="32"/>
        </w:rPr>
        <w:t>）业务费、劳务费预算如需调剂的，由项目负责人根据科研活动实际需要自主安排，并报项目责任单位备案。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第十六条</w:t>
      </w:r>
      <w:r>
        <w:rPr>
          <w:rFonts w:hint="eastAsia" w:ascii="仿宋" w:hAnsi="仿宋" w:eastAsia="仿宋" w:cs="Times New Roman"/>
          <w:color w:val="auto"/>
          <w:sz w:val="32"/>
          <w:szCs w:val="32"/>
          <w:lang w:val="en-US" w:eastAsia="zh-CN"/>
        </w:rPr>
        <w:t xml:space="preserve">  省社科项目经费的支付执行国库集中支付制度。项目经费属于政府采购范围的，应当按照政府采购有关规定执行。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第十七条</w:t>
      </w:r>
      <w:r>
        <w:rPr>
          <w:rFonts w:hint="eastAsia" w:ascii="仿宋" w:hAnsi="仿宋" w:eastAsia="仿宋" w:cs="Times New Roman"/>
          <w:color w:val="auto"/>
          <w:sz w:val="32"/>
          <w:szCs w:val="32"/>
          <w:lang w:val="en-US" w:eastAsia="zh-CN"/>
        </w:rPr>
        <w:t xml:space="preserve">  责任单位应当严格执行国家及福建省有关科研经费支出管理制度。对应当实行“公务卡”结算的支出，按照福建省财政科研项目使用公务卡结算的有关规定执行。专家咨询费、劳务费等支出，原则上应当通过银行转账方式结算，从严控制现金支出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rPr>
        <w:t>项目实施过程中，项目责任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w:t>
      </w:r>
      <w:r>
        <w:rPr>
          <w:rFonts w:hint="eastAsia" w:ascii="仿宋" w:hAnsi="仿宋" w:eastAsia="仿宋" w:cs="Times New Roman"/>
          <w:color w:val="auto"/>
          <w:spacing w:val="0"/>
          <w:w w:val="100"/>
          <w:kern w:val="2"/>
          <w:sz w:val="32"/>
          <w:lang w:eastAsia="zh-CN"/>
        </w:rPr>
        <w:t>制</w:t>
      </w:r>
      <w:r>
        <w:rPr>
          <w:rFonts w:hint="eastAsia" w:ascii="仿宋" w:hAnsi="仿宋" w:eastAsia="仿宋" w:cs="Times New Roman"/>
          <w:color w:val="auto"/>
          <w:spacing w:val="0"/>
          <w:w w:val="100"/>
          <w:kern w:val="2"/>
          <w:sz w:val="32"/>
        </w:rPr>
        <w:t>。对</w:t>
      </w:r>
      <w:r>
        <w:rPr>
          <w:rFonts w:hint="eastAsia" w:ascii="仿宋" w:hAnsi="仿宋" w:eastAsia="仿宋" w:cs="Times New Roman"/>
          <w:color w:val="auto"/>
          <w:spacing w:val="0"/>
          <w:w w:val="100"/>
          <w:kern w:val="2"/>
          <w:sz w:val="32"/>
          <w:lang w:eastAsia="zh-CN"/>
        </w:rPr>
        <w:t>野外考察</w:t>
      </w:r>
      <w:r>
        <w:rPr>
          <w:rFonts w:hint="eastAsia" w:ascii="仿宋" w:hAnsi="仿宋" w:eastAsia="仿宋" w:cs="Times New Roman"/>
          <w:color w:val="auto"/>
          <w:spacing w:val="0"/>
          <w:w w:val="100"/>
          <w:kern w:val="2"/>
          <w:sz w:val="32"/>
        </w:rPr>
        <w:t>、数据采集等科研活动中无法取得发票或财政票据的支出，在确保真实性的前提下，可按实际发生额予以报销。</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第十八条</w:t>
      </w:r>
      <w:r>
        <w:rPr>
          <w:rFonts w:hint="eastAsia" w:ascii="仿宋" w:hAnsi="仿宋" w:eastAsia="仿宋" w:cs="Times New Roman"/>
          <w:color w:val="auto"/>
          <w:sz w:val="32"/>
          <w:szCs w:val="32"/>
          <w:lang w:val="en-US" w:eastAsia="zh-CN"/>
        </w:rPr>
        <w:t xml:space="preserve">  项目研究完成后，项目负责人应当会同科研、财务、资产等管理部门及时清理账目与资产，如实编制《福建省社会科学基金项目结项审批书》中的项目决算表，不得随意调账变动支出、随意修改记账凭证。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有外拨经费的项目，外拨经费决算经合作研究单位财务、审计部门审核并签署意见后，由项目负责人汇总编制项目经费决算。</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第十九条</w:t>
      </w:r>
      <w:r>
        <w:rPr>
          <w:rFonts w:hint="eastAsia" w:ascii="仿宋" w:hAnsi="仿宋" w:eastAsia="仿宋" w:cs="Times New Roman"/>
          <w:color w:val="auto"/>
          <w:sz w:val="32"/>
          <w:szCs w:val="32"/>
          <w:lang w:val="en-US" w:eastAsia="zh-CN"/>
        </w:rPr>
        <w:t xml:space="preserve">  项目研究成果鉴定的费用由省社科规划办支付。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bCs/>
          <w:color w:val="auto"/>
          <w:sz w:val="32"/>
          <w:szCs w:val="32"/>
          <w:lang w:val="en-US" w:eastAsia="zh-CN"/>
        </w:rPr>
      </w:pPr>
      <w:r>
        <w:rPr>
          <w:rFonts w:hint="eastAsia" w:ascii="仿宋" w:hAnsi="仿宋" w:eastAsia="仿宋" w:cs="Times New Roman"/>
          <w:b/>
          <w:bCs/>
          <w:color w:val="auto"/>
          <w:sz w:val="32"/>
          <w:szCs w:val="32"/>
          <w:lang w:val="en-US" w:eastAsia="zh-CN"/>
        </w:rPr>
        <w:t>第二十条</w:t>
      </w:r>
      <w:r>
        <w:rPr>
          <w:rFonts w:hint="eastAsia" w:ascii="仿宋" w:hAnsi="仿宋" w:eastAsia="仿宋" w:cs="Times New Roman"/>
          <w:color w:val="auto"/>
          <w:sz w:val="32"/>
          <w:szCs w:val="32"/>
          <w:lang w:val="en-US" w:eastAsia="zh-CN"/>
        </w:rPr>
        <w:t xml:space="preserve">  </w:t>
      </w:r>
      <w:r>
        <w:rPr>
          <w:rFonts w:ascii="仿宋_GB2312" w:eastAsia="仿宋_GB2312" w:cs="仿宋_GB2312"/>
          <w:spacing w:val="-2"/>
          <w:w w:val="100"/>
          <w:kern w:val="21"/>
          <w:sz w:val="32"/>
        </w:rPr>
        <w:t>项目在研期间，年度剩余</w:t>
      </w:r>
      <w:r>
        <w:rPr>
          <w:rFonts w:hint="eastAsia" w:ascii="仿宋_GB2312" w:eastAsia="仿宋_GB2312" w:cs="仿宋_GB2312"/>
          <w:spacing w:val="-2"/>
          <w:w w:val="100"/>
          <w:kern w:val="21"/>
          <w:sz w:val="32"/>
        </w:rPr>
        <w:t>经费</w:t>
      </w:r>
      <w:r>
        <w:rPr>
          <w:rFonts w:ascii="仿宋_GB2312" w:eastAsia="仿宋_GB2312" w:cs="仿宋_GB2312"/>
          <w:spacing w:val="-2"/>
          <w:w w:val="100"/>
          <w:kern w:val="21"/>
          <w:sz w:val="32"/>
        </w:rPr>
        <w:t>可以结转下一年度继续使用。项目通过审核验收后，</w:t>
      </w:r>
      <w:r>
        <w:rPr>
          <w:rFonts w:hint="eastAsia" w:ascii="仿宋" w:hAnsi="仿宋" w:eastAsia="仿宋" w:cs="Times New Roman"/>
          <w:color w:val="auto"/>
          <w:sz w:val="32"/>
          <w:szCs w:val="32"/>
          <w:lang w:val="en-US" w:eastAsia="zh-CN"/>
        </w:rPr>
        <w:t>项目责任单位在提取间接费用后，直接</w:t>
      </w:r>
      <w:r>
        <w:rPr>
          <w:rFonts w:hint="eastAsia" w:ascii="仿宋" w:hAnsi="仿宋" w:eastAsia="仿宋" w:cs="Times New Roman"/>
          <w:b w:val="0"/>
          <w:bCs w:val="0"/>
          <w:color w:val="auto"/>
          <w:sz w:val="32"/>
          <w:szCs w:val="32"/>
          <w:lang w:val="en-US" w:eastAsia="zh-CN"/>
        </w:rPr>
        <w:t>费用的结余部分可按照本单位实际制定适合本单位的报销方式，各单位应根据本单位实际制定实施细则。</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（一）直接费用的结余经费可实行“包干使用”，</w:t>
      </w:r>
      <w:r>
        <w:rPr>
          <w:rFonts w:hint="eastAsia" w:ascii="仿宋" w:hAnsi="仿宋" w:eastAsia="仿宋" w:cs="Times New Roman"/>
          <w:color w:val="auto"/>
          <w:sz w:val="32"/>
          <w:szCs w:val="32"/>
          <w:lang w:val="en-US" w:eastAsia="zh-CN"/>
        </w:rPr>
        <w:t>在项目通过验收后，由项目负责人提供本人签字的经费使用清单及说明，经项目</w:t>
      </w:r>
      <w:r>
        <w:rPr>
          <w:rFonts w:hint="eastAsia" w:ascii="仿宋" w:hAnsi="仿宋" w:eastAsia="仿宋" w:cs="Times New Roman"/>
          <w:b w:val="0"/>
          <w:bCs w:val="0"/>
          <w:color w:val="auto"/>
          <w:sz w:val="32"/>
          <w:szCs w:val="32"/>
          <w:lang w:val="en-US" w:eastAsia="zh-CN"/>
        </w:rPr>
        <w:t>所在单位财务部门审核，报单位领导审批后报销。</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val="en-US" w:eastAsia="zh-CN"/>
        </w:rPr>
      </w:pPr>
      <w:r>
        <w:rPr>
          <w:rFonts w:hint="eastAsia" w:ascii="仿宋" w:hAnsi="仿宋" w:eastAsia="仿宋" w:cs="Times New Roman"/>
          <w:color w:val="auto"/>
          <w:spacing w:val="0"/>
          <w:w w:val="100"/>
          <w:kern w:val="2"/>
          <w:sz w:val="32"/>
          <w:lang w:eastAsia="zh-CN"/>
        </w:rPr>
        <w:t>（二）</w:t>
      </w:r>
      <w:r>
        <w:rPr>
          <w:rFonts w:hint="eastAsia" w:ascii="仿宋" w:hAnsi="仿宋" w:eastAsia="仿宋" w:cs="Times New Roman"/>
          <w:b w:val="0"/>
          <w:bCs w:val="0"/>
          <w:color w:val="auto"/>
          <w:sz w:val="32"/>
          <w:szCs w:val="32"/>
          <w:lang w:val="en-US" w:eastAsia="zh-CN"/>
        </w:rPr>
        <w:t>直接费用的结余经费</w:t>
      </w:r>
      <w:r>
        <w:rPr>
          <w:rFonts w:hint="eastAsia" w:ascii="仿宋" w:hAnsi="仿宋" w:eastAsia="仿宋" w:cs="Times New Roman"/>
          <w:color w:val="auto"/>
          <w:spacing w:val="0"/>
          <w:w w:val="100"/>
          <w:kern w:val="2"/>
          <w:sz w:val="32"/>
          <w:lang w:eastAsia="zh-CN"/>
        </w:rPr>
        <w:t>可以</w:t>
      </w:r>
      <w:r>
        <w:rPr>
          <w:rFonts w:hint="eastAsia" w:ascii="仿宋" w:hAnsi="仿宋" w:eastAsia="仿宋" w:cs="Times New Roman"/>
          <w:color w:val="auto"/>
          <w:spacing w:val="0"/>
          <w:w w:val="100"/>
          <w:kern w:val="2"/>
          <w:sz w:val="32"/>
        </w:rPr>
        <w:t>由项目责任单位统筹安排</w:t>
      </w:r>
      <w:r>
        <w:rPr>
          <w:rFonts w:hint="eastAsia" w:ascii="仿宋" w:hAnsi="仿宋" w:eastAsia="仿宋" w:cs="Times New Roman"/>
          <w:color w:val="auto"/>
          <w:spacing w:val="0"/>
          <w:w w:val="100"/>
          <w:kern w:val="2"/>
          <w:sz w:val="32"/>
          <w:lang w:eastAsia="zh-CN"/>
        </w:rPr>
        <w:t>用于项目最终成果出版及后续研究的直接支出</w:t>
      </w:r>
      <w:r>
        <w:rPr>
          <w:rFonts w:hint="eastAsia" w:ascii="仿宋" w:hAnsi="仿宋" w:eastAsia="仿宋" w:cs="Times New Roman"/>
          <w:color w:val="auto"/>
          <w:spacing w:val="0"/>
          <w:w w:val="100"/>
          <w:kern w:val="2"/>
          <w:sz w:val="32"/>
        </w:rPr>
        <w:t>，优先</w:t>
      </w:r>
      <w:r>
        <w:rPr>
          <w:rFonts w:hint="eastAsia" w:ascii="仿宋" w:hAnsi="仿宋" w:eastAsia="仿宋" w:cs="Times New Roman"/>
          <w:color w:val="auto"/>
          <w:spacing w:val="0"/>
          <w:w w:val="100"/>
          <w:kern w:val="2"/>
          <w:sz w:val="32"/>
          <w:lang w:eastAsia="zh-CN"/>
        </w:rPr>
        <w:t>考虑</w:t>
      </w:r>
      <w:r>
        <w:rPr>
          <w:rFonts w:hint="eastAsia" w:ascii="仿宋" w:hAnsi="仿宋" w:eastAsia="仿宋" w:cs="Times New Roman"/>
          <w:color w:val="auto"/>
          <w:spacing w:val="0"/>
          <w:w w:val="100"/>
          <w:kern w:val="2"/>
          <w:sz w:val="32"/>
        </w:rPr>
        <w:t>原项目团队科研需求。项目责任单位应当加强结余经费管理，健全结余经费盘活机制，加快经费使用进度。</w:t>
      </w:r>
      <w:r>
        <w:rPr>
          <w:rFonts w:hint="eastAsia" w:ascii="仿宋" w:hAnsi="仿宋" w:eastAsia="仿宋" w:cs="Times New Roman"/>
          <w:color w:val="auto"/>
          <w:spacing w:val="0"/>
          <w:w w:val="100"/>
          <w:kern w:val="2"/>
          <w:sz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pacing w:val="0"/>
          <w:w w:val="100"/>
          <w:kern w:val="2"/>
          <w:sz w:val="32"/>
          <w:lang w:val="en-US" w:eastAsia="zh-CN"/>
        </w:rPr>
        <w:t>第二十一条</w:t>
      </w:r>
      <w:r>
        <w:rPr>
          <w:rFonts w:hint="eastAsia" w:cs="仿宋_GB2312"/>
          <w:b/>
          <w:bCs/>
          <w:spacing w:val="-2"/>
          <w:w w:val="100"/>
          <w:kern w:val="21"/>
          <w:sz w:val="32"/>
          <w:lang w:val="en-US" w:eastAsia="zh-CN"/>
        </w:rPr>
        <w:t xml:space="preserve">  </w:t>
      </w:r>
      <w:r>
        <w:rPr>
          <w:rFonts w:hint="eastAsia" w:ascii="仿宋" w:hAnsi="仿宋" w:eastAsia="仿宋" w:cs="Times New Roman"/>
          <w:color w:val="auto"/>
          <w:sz w:val="32"/>
          <w:szCs w:val="32"/>
          <w:lang w:val="en-US" w:eastAsia="zh-CN"/>
        </w:rPr>
        <w:t>对于因故被终止或撤销的项目，省社科规划办应</w:t>
      </w:r>
      <w:r>
        <w:rPr>
          <w:rFonts w:hint="eastAsia" w:ascii="仿宋" w:hAnsi="仿宋" w:eastAsia="仿宋" w:cs="Times New Roman"/>
          <w:color w:val="auto"/>
          <w:spacing w:val="0"/>
          <w:w w:val="100"/>
          <w:kern w:val="2"/>
          <w:sz w:val="32"/>
        </w:rPr>
        <w:t>视情节轻重分别作出退回结余经费、退回结余经费和绩效支出、退回已拨经费处理。</w:t>
      </w:r>
      <w:r>
        <w:rPr>
          <w:rFonts w:hint="eastAsia" w:ascii="仿宋" w:hAnsi="仿宋" w:eastAsia="仿宋" w:cs="Times New Roman"/>
          <w:color w:val="auto"/>
          <w:sz w:val="32"/>
          <w:szCs w:val="32"/>
          <w:lang w:val="en-US" w:eastAsia="zh-CN"/>
        </w:rPr>
        <w:t>项目责任单位应当在接到有关通知后30日内按原渠道退回省社科联。所退经费由省社科规划办按照财政预算管理的有关规定，统筹用于资助项目研究。</w:t>
      </w:r>
    </w:p>
    <w:p>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ascii="仿宋" w:hAnsi="仿宋" w:eastAsia="仿宋" w:cs="Times New Roman"/>
          <w:color w:val="auto"/>
          <w:lang w:val="en-US" w:eastAsia="zh-CN"/>
        </w:rPr>
      </w:pP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sz w:val="32"/>
          <w:szCs w:val="32"/>
          <w:lang w:eastAsia="zh-CN"/>
        </w:rPr>
        <w:t>项目</w:t>
      </w:r>
      <w:r>
        <w:rPr>
          <w:rFonts w:hint="eastAsia" w:ascii="仿宋" w:hAnsi="仿宋" w:eastAsia="仿宋" w:cs="Times New Roman"/>
          <w:color w:val="auto"/>
          <w:spacing w:val="0"/>
          <w:sz w:val="32"/>
          <w:szCs w:val="32"/>
        </w:rPr>
        <w:t>责任单位发生变更的项目，原</w:t>
      </w:r>
      <w:r>
        <w:rPr>
          <w:rFonts w:hint="eastAsia" w:ascii="仿宋" w:hAnsi="仿宋" w:eastAsia="仿宋" w:cs="Times New Roman"/>
          <w:color w:val="auto"/>
          <w:spacing w:val="0"/>
          <w:sz w:val="32"/>
          <w:szCs w:val="32"/>
          <w:lang w:eastAsia="zh-CN"/>
        </w:rPr>
        <w:t>项目</w:t>
      </w:r>
      <w:r>
        <w:rPr>
          <w:rFonts w:hint="eastAsia" w:ascii="仿宋" w:hAnsi="仿宋" w:eastAsia="仿宋" w:cs="Times New Roman"/>
          <w:color w:val="auto"/>
          <w:spacing w:val="0"/>
          <w:sz w:val="32"/>
          <w:szCs w:val="32"/>
        </w:rPr>
        <w:t>责任单位应当及时向新</w:t>
      </w:r>
      <w:r>
        <w:rPr>
          <w:rFonts w:hint="eastAsia" w:ascii="仿宋" w:hAnsi="仿宋" w:eastAsia="仿宋" w:cs="Times New Roman"/>
          <w:color w:val="auto"/>
          <w:spacing w:val="0"/>
          <w:sz w:val="32"/>
          <w:szCs w:val="32"/>
          <w:lang w:eastAsia="zh-CN"/>
        </w:rPr>
        <w:t>项目</w:t>
      </w:r>
      <w:r>
        <w:rPr>
          <w:rFonts w:hint="eastAsia" w:ascii="仿宋" w:hAnsi="仿宋" w:eastAsia="仿宋" w:cs="Times New Roman"/>
          <w:color w:val="auto"/>
          <w:spacing w:val="0"/>
          <w:sz w:val="32"/>
          <w:szCs w:val="32"/>
        </w:rPr>
        <w:t>责任单位转拨</w:t>
      </w:r>
      <w:r>
        <w:rPr>
          <w:rFonts w:hint="eastAsia" w:ascii="仿宋" w:hAnsi="仿宋" w:eastAsia="仿宋" w:cs="Times New Roman"/>
          <w:color w:val="auto"/>
          <w:spacing w:val="0"/>
          <w:sz w:val="32"/>
          <w:szCs w:val="32"/>
          <w:lang w:eastAsia="zh-CN"/>
        </w:rPr>
        <w:t>需转拨的</w:t>
      </w:r>
      <w:r>
        <w:rPr>
          <w:rFonts w:hint="eastAsia" w:ascii="仿宋" w:hAnsi="仿宋" w:eastAsia="仿宋" w:cs="Times New Roman"/>
          <w:color w:val="auto"/>
          <w:spacing w:val="0"/>
          <w:sz w:val="32"/>
          <w:szCs w:val="32"/>
        </w:rPr>
        <w:t>项目经费。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 xml:space="preserve">第二十二条 </w:t>
      </w:r>
      <w:r>
        <w:rPr>
          <w:rFonts w:hint="eastAsia" w:ascii="仿宋" w:hAnsi="仿宋" w:eastAsia="仿宋" w:cs="Times New Roman"/>
          <w:color w:val="auto"/>
          <w:sz w:val="32"/>
          <w:szCs w:val="32"/>
          <w:lang w:val="en-US" w:eastAsia="zh-CN"/>
        </w:rPr>
        <w:t xml:space="preserve"> 项目实施过程中，使用项目经费形成的固定资产、无形资产等属于国有资产，应当按照国有资产管理的有关规定执行。</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管理与监督</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第二十三条</w:t>
      </w:r>
      <w:r>
        <w:rPr>
          <w:rFonts w:hint="eastAsia"/>
          <w:lang w:val="en-US" w:eastAsia="zh-CN"/>
        </w:rPr>
        <w:t xml:space="preserve"> </w:t>
      </w:r>
      <w:r>
        <w:rPr>
          <w:rFonts w:hint="eastAsia" w:ascii="仿宋" w:hAnsi="仿宋" w:eastAsia="仿宋" w:cs="Times New Roman"/>
          <w:color w:val="auto"/>
          <w:sz w:val="32"/>
          <w:szCs w:val="32"/>
          <w:lang w:val="en-US" w:eastAsia="zh-CN"/>
        </w:rPr>
        <w:t>省社科规划办应履行以下管理职责：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（一）加强立项项目经费预算和结项项目经费决算的管理。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（二）加强项目经费使用的绩效管理，对项目资金管理使用效益进行绩效评价，强化绩效评价结果应用。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（三）对在研项目的经费使用情况进行中期检查。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 xml:space="preserve">第二十四条 </w:t>
      </w:r>
      <w:r>
        <w:rPr>
          <w:rFonts w:hint="eastAsia" w:ascii="仿宋" w:hAnsi="仿宋" w:eastAsia="仿宋" w:cs="Times New Roman"/>
          <w:color w:val="auto"/>
          <w:sz w:val="32"/>
          <w:szCs w:val="32"/>
          <w:lang w:val="en-US" w:eastAsia="zh-CN"/>
        </w:rPr>
        <w:t>项目承担单位应履行以下职责：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（一）制定项目经费内部管理办法，明确审批程序、管理要求和报销规定，落实项目预算调剂、间接费用统筹使用、劳务费分配管理、结余经费使用等管理权限。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（二）加强项目预算审核把关，规范财务支出行为，完善内部风险防控机制，加强绩效管理，强化经费使用绩效监控和评价，保障经费使用安全规范有效。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（三）建立健全单位内部科研、财务、项目负责人共享的信息平台，提高科研管理效率和便利化程度。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（四）建立健全科研财务助理制度，为科研人员在项目预算编制和调剂、经费支出、项目经费决算和验收等方面提供专业化服务。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（五）建立项目经费使用管理的信息公开机制，在单位内部公开项目预算、预算调剂、决算、项目组人员构成、设备购置、外拨经费、劳务费发放以及间接费用和结余经费使用等情况，自觉接受监督。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（六）自觉接受财政、审计、监察部门和主管部门的监督检查，如实反映情况，提供有关资料。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（七）</w:t>
      </w:r>
      <w:r>
        <w:rPr>
          <w:rFonts w:hint="eastAsia" w:ascii="仿宋" w:hAnsi="仿宋" w:eastAsia="仿宋" w:cs="Times New Roman"/>
          <w:color w:val="auto"/>
          <w:spacing w:val="0"/>
          <w:sz w:val="32"/>
          <w:lang w:eastAsia="zh-CN"/>
        </w:rPr>
        <w:t>项目</w:t>
      </w:r>
      <w:r>
        <w:rPr>
          <w:rFonts w:hint="eastAsia" w:ascii="仿宋" w:hAnsi="仿宋" w:eastAsia="仿宋" w:cs="Times New Roman"/>
          <w:color w:val="auto"/>
          <w:spacing w:val="0"/>
          <w:sz w:val="32"/>
        </w:rPr>
        <w:t>责任单位应当</w:t>
      </w:r>
      <w:r>
        <w:rPr>
          <w:rFonts w:hint="eastAsia" w:ascii="仿宋" w:hAnsi="仿宋" w:eastAsia="仿宋" w:cs="Times New Roman"/>
          <w:color w:val="auto"/>
          <w:spacing w:val="0"/>
          <w:sz w:val="32"/>
          <w:lang w:eastAsia="zh-CN"/>
        </w:rPr>
        <w:t>建立</w:t>
      </w:r>
      <w:r>
        <w:rPr>
          <w:rFonts w:hint="eastAsia" w:ascii="仿宋" w:hAnsi="仿宋" w:eastAsia="仿宋" w:cs="Times New Roman"/>
          <w:color w:val="auto"/>
          <w:spacing w:val="0"/>
          <w:sz w:val="32"/>
        </w:rPr>
        <w:t>项目</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管理承诺机制</w:t>
      </w:r>
      <w:r>
        <w:rPr>
          <w:rFonts w:hint="eastAsia" w:ascii="仿宋" w:hAnsi="仿宋" w:eastAsia="仿宋" w:cs="Times New Roman"/>
          <w:color w:val="auto"/>
          <w:spacing w:val="0"/>
          <w:sz w:val="32"/>
          <w:lang w:eastAsia="zh-CN"/>
        </w:rPr>
        <w:t>，</w:t>
      </w:r>
      <w:r>
        <w:rPr>
          <w:rFonts w:hint="eastAsia" w:ascii="仿宋" w:hAnsi="仿宋" w:eastAsia="仿宋" w:cs="Times New Roman"/>
          <w:color w:val="auto"/>
          <w:spacing w:val="0"/>
          <w:sz w:val="32"/>
        </w:rPr>
        <w:t>承诺依法履行项目</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管理的职责。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第二十五条</w:t>
      </w:r>
      <w:r>
        <w:rPr>
          <w:rFonts w:hint="default"/>
          <w:sz w:val="32"/>
          <w:szCs w:val="32"/>
          <w:lang w:val="en-US" w:eastAsia="zh-CN"/>
        </w:rPr>
        <w:t xml:space="preserve"> </w:t>
      </w:r>
      <w:r>
        <w:rPr>
          <w:rFonts w:hint="eastAsia" w:ascii="仿宋" w:hAnsi="仿宋" w:eastAsia="仿宋" w:cs="Times New Roman"/>
          <w:color w:val="auto"/>
          <w:sz w:val="32"/>
          <w:szCs w:val="32"/>
          <w:lang w:val="en-US" w:eastAsia="zh-CN"/>
        </w:rPr>
        <w:t>项目责任人应履行以下职责：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（一）依法依规使用项目经费。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（二）承诺提供真实项目信息并认真遵守项目经费管理有关规定，自觉接受有关部门的监督检查。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b/>
          <w:bCs/>
          <w:color w:val="auto"/>
          <w:sz w:val="32"/>
          <w:szCs w:val="32"/>
          <w:lang w:val="en-US" w:eastAsia="zh-CN"/>
        </w:rPr>
        <w:t>第二十六条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w w:val="100"/>
          <w:kern w:val="2"/>
          <w:sz w:val="32"/>
          <w:lang w:val="en" w:eastAsia="zh-CN"/>
        </w:rPr>
        <w:t>项目</w:t>
      </w:r>
      <w:r>
        <w:rPr>
          <w:rFonts w:hint="eastAsia" w:ascii="仿宋" w:hAnsi="仿宋" w:eastAsia="仿宋" w:cs="Times New Roman"/>
          <w:color w:val="auto"/>
          <w:spacing w:val="0"/>
          <w:w w:val="100"/>
          <w:kern w:val="2"/>
          <w:sz w:val="32"/>
        </w:rPr>
        <w:t>责任单位和项目负责人应当依法依规管理使用项目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，不得存在以下行为：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（一）</w:t>
      </w:r>
      <w:r>
        <w:rPr>
          <w:rFonts w:hint="eastAsia" w:ascii="仿宋" w:hAnsi="仿宋" w:eastAsia="仿宋" w:cs="Times New Roman"/>
          <w:color w:val="auto"/>
          <w:spacing w:val="0"/>
          <w:w w:val="100"/>
          <w:kern w:val="2"/>
          <w:sz w:val="32"/>
        </w:rPr>
        <w:t>虚假编报项目预算；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（二）</w:t>
      </w:r>
      <w:r>
        <w:rPr>
          <w:rFonts w:hint="eastAsia" w:ascii="仿宋" w:hAnsi="仿宋" w:eastAsia="仿宋" w:cs="Times New Roman"/>
          <w:color w:val="auto"/>
          <w:spacing w:val="0"/>
          <w:w w:val="100"/>
          <w:kern w:val="2"/>
          <w:sz w:val="32"/>
        </w:rPr>
        <w:t>未对</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进行单独核算；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（三）</w:t>
      </w:r>
      <w:r>
        <w:rPr>
          <w:rFonts w:hint="eastAsia" w:ascii="仿宋" w:hAnsi="仿宋" w:eastAsia="仿宋" w:cs="Times New Roman"/>
          <w:color w:val="auto"/>
          <w:spacing w:val="0"/>
          <w:w w:val="100"/>
          <w:kern w:val="2"/>
          <w:sz w:val="32"/>
        </w:rPr>
        <w:t>列支与项目任务无关的支出；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snapToGrid/>
          <w:color w:val="auto"/>
          <w:spacing w:val="0"/>
          <w:w w:val="100"/>
          <w:kern w:val="2"/>
          <w:sz w:val="32"/>
        </w:rPr>
      </w:pPr>
      <w:r>
        <w:rPr>
          <w:rFonts w:hint="eastAsia" w:ascii="仿宋" w:hAnsi="仿宋" w:eastAsia="仿宋" w:cs="Times New Roman"/>
          <w:snapToGrid/>
          <w:color w:val="auto"/>
          <w:spacing w:val="0"/>
          <w:w w:val="100"/>
          <w:kern w:val="2"/>
          <w:sz w:val="32"/>
          <w:lang w:eastAsia="zh-CN"/>
        </w:rPr>
        <w:t>（四）未按规定执行和调剂预算、</w:t>
      </w:r>
      <w:r>
        <w:rPr>
          <w:rFonts w:hint="eastAsia" w:ascii="仿宋" w:hAnsi="仿宋" w:eastAsia="仿宋" w:cs="Times New Roman"/>
          <w:snapToGrid/>
          <w:color w:val="auto"/>
          <w:spacing w:val="0"/>
          <w:w w:val="100"/>
          <w:kern w:val="2"/>
          <w:sz w:val="32"/>
        </w:rPr>
        <w:t>违反规定转拨项目</w:t>
      </w:r>
      <w:r>
        <w:rPr>
          <w:rFonts w:hint="eastAsia" w:ascii="仿宋" w:hAnsi="仿宋" w:eastAsia="仿宋" w:cs="Times New Roman"/>
          <w:color w:val="auto"/>
          <w:lang w:val="en-US" w:eastAsia="zh-CN"/>
        </w:rPr>
        <w:t>经费</w:t>
      </w:r>
      <w:r>
        <w:rPr>
          <w:rFonts w:hint="eastAsia" w:ascii="仿宋" w:hAnsi="仿宋" w:eastAsia="仿宋" w:cs="Times New Roman"/>
          <w:snapToGrid/>
          <w:color w:val="auto"/>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（五）</w:t>
      </w:r>
      <w:r>
        <w:rPr>
          <w:rFonts w:hint="eastAsia" w:ascii="仿宋" w:hAnsi="仿宋" w:eastAsia="仿宋" w:cs="Times New Roman"/>
          <w:color w:val="auto"/>
          <w:spacing w:val="0"/>
          <w:w w:val="100"/>
          <w:kern w:val="2"/>
          <w:sz w:val="32"/>
        </w:rPr>
        <w:t>通过虚假合同、虚假票据、虚构事项、虚报人员等弄虚作假，转移、套取、报销项目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（六）</w:t>
      </w:r>
      <w:r>
        <w:rPr>
          <w:rFonts w:hint="eastAsia" w:ascii="仿宋" w:hAnsi="仿宋" w:eastAsia="仿宋" w:cs="Times New Roman"/>
          <w:color w:val="auto"/>
          <w:spacing w:val="0"/>
          <w:w w:val="100"/>
          <w:kern w:val="2"/>
          <w:sz w:val="32"/>
        </w:rPr>
        <w:t>截留、挤占、挪用项目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（七）</w:t>
      </w:r>
      <w:r>
        <w:rPr>
          <w:rFonts w:hint="eastAsia" w:ascii="仿宋" w:hAnsi="仿宋" w:eastAsia="仿宋" w:cs="Times New Roman"/>
          <w:color w:val="auto"/>
          <w:spacing w:val="0"/>
          <w:w w:val="100"/>
          <w:kern w:val="2"/>
          <w:sz w:val="32"/>
        </w:rPr>
        <w:t>设置账外账、随意调账变动支出、随意修改记账凭证、提供虚假财务会计资料等；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（八）</w:t>
      </w:r>
      <w:r>
        <w:rPr>
          <w:rFonts w:hint="eastAsia" w:ascii="仿宋" w:hAnsi="仿宋" w:eastAsia="仿宋" w:cs="Times New Roman"/>
          <w:color w:val="auto"/>
          <w:spacing w:val="0"/>
          <w:w w:val="100"/>
          <w:kern w:val="2"/>
          <w:sz w:val="32"/>
        </w:rPr>
        <w:t>在使用项目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中以任何方式列支应由个人负担</w:t>
      </w:r>
      <w:r>
        <w:rPr>
          <w:rFonts w:hint="eastAsia" w:ascii="仿宋" w:hAnsi="仿宋" w:eastAsia="仿宋" w:cs="Times New Roman"/>
          <w:snapToGrid/>
          <w:color w:val="auto"/>
          <w:spacing w:val="0"/>
          <w:w w:val="100"/>
          <w:kern w:val="2"/>
          <w:sz w:val="32"/>
        </w:rPr>
        <w:t>的有关费用和支付各种罚款、捐款、赞助、投资、偿还债务等；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w w:val="100"/>
          <w:kern w:val="2"/>
          <w:sz w:val="32"/>
          <w:lang w:eastAsia="zh-CN"/>
        </w:rPr>
        <w:t>（九）</w:t>
      </w:r>
      <w:r>
        <w:rPr>
          <w:rFonts w:hint="eastAsia" w:ascii="仿宋" w:hAnsi="仿宋" w:eastAsia="仿宋" w:cs="Times New Roman"/>
          <w:color w:val="auto"/>
          <w:spacing w:val="0"/>
          <w:w w:val="100"/>
          <w:kern w:val="2"/>
          <w:sz w:val="32"/>
        </w:rPr>
        <w:t>其他违反国家财经纪律的行为。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color w:val="auto"/>
          <w:spacing w:val="0"/>
          <w:sz w:val="32"/>
        </w:rPr>
        <w:t>对</w:t>
      </w:r>
      <w:r>
        <w:rPr>
          <w:rFonts w:hint="eastAsia" w:ascii="仿宋" w:hAnsi="仿宋" w:eastAsia="仿宋" w:cs="Times New Roman"/>
          <w:color w:val="auto"/>
          <w:spacing w:val="0"/>
          <w:sz w:val="32"/>
          <w:lang w:eastAsia="zh-CN"/>
        </w:rPr>
        <w:t>项目</w:t>
      </w:r>
      <w:r>
        <w:rPr>
          <w:rFonts w:hint="eastAsia" w:ascii="仿宋" w:hAnsi="仿宋" w:eastAsia="仿宋" w:cs="Times New Roman"/>
          <w:color w:val="auto"/>
          <w:spacing w:val="0"/>
          <w:sz w:val="32"/>
        </w:rPr>
        <w:t>责任单位和科研人员在项目</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管理使用过程中出现的失信情况，应当纳入信用记录管理，对严重失信行为实行追责和惩戒。</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b/>
          <w:bCs/>
          <w:color w:val="auto"/>
          <w:spacing w:val="0"/>
          <w:w w:val="100"/>
          <w:kern w:val="2"/>
          <w:sz w:val="32"/>
          <w:lang w:eastAsia="zh-CN"/>
        </w:rPr>
        <w:t>第二十七条</w:t>
      </w:r>
      <w:r>
        <w:rPr>
          <w:rFonts w:hint="eastAsia" w:ascii="仿宋" w:hAnsi="仿宋" w:eastAsia="仿宋" w:cs="Times New Roman"/>
          <w:b/>
          <w:bCs/>
          <w:color w:val="auto"/>
          <w:spacing w:val="0"/>
          <w:w w:val="100"/>
          <w:kern w:val="2"/>
          <w:sz w:val="32"/>
          <w:lang w:val="en-US" w:eastAsia="zh-CN"/>
        </w:rPr>
        <w:t xml:space="preserve"> </w:t>
      </w:r>
      <w:r>
        <w:rPr>
          <w:rFonts w:hint="eastAsia" w:cs="仿宋_GB2312"/>
          <w:spacing w:val="-2"/>
          <w:w w:val="100"/>
          <w:kern w:val="21"/>
          <w:sz w:val="32"/>
          <w:lang w:val="en-US" w:eastAsia="zh-CN"/>
        </w:rPr>
        <w:t xml:space="preserve"> </w:t>
      </w:r>
      <w:r>
        <w:rPr>
          <w:rFonts w:hint="eastAsia" w:ascii="仿宋" w:hAnsi="仿宋" w:eastAsia="仿宋" w:cs="Times New Roman"/>
          <w:color w:val="auto"/>
          <w:spacing w:val="0"/>
          <w:w w:val="100"/>
          <w:kern w:val="2"/>
          <w:sz w:val="32"/>
          <w:lang w:val="en-US" w:eastAsia="zh-CN"/>
        </w:rPr>
        <w:t>省财政厅</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规定对</w:t>
      </w:r>
      <w:r>
        <w:rPr>
          <w:rFonts w:hint="eastAsia" w:ascii="仿宋" w:hAnsi="仿宋" w:eastAsia="仿宋" w:cs="Times New Roman"/>
          <w:color w:val="auto"/>
          <w:sz w:val="32"/>
          <w:szCs w:val="32"/>
          <w:lang w:val="en-US" w:eastAsia="zh-CN"/>
        </w:rPr>
        <w:t>省社科项目经费</w:t>
      </w:r>
      <w:r>
        <w:rPr>
          <w:rFonts w:hint="eastAsia" w:ascii="仿宋" w:hAnsi="仿宋" w:eastAsia="仿宋" w:cs="Times New Roman"/>
          <w:color w:val="auto"/>
          <w:spacing w:val="0"/>
          <w:w w:val="100"/>
          <w:kern w:val="2"/>
          <w:sz w:val="32"/>
        </w:rPr>
        <w:t>管理和使用情况进行监督管理</w:t>
      </w:r>
      <w:r>
        <w:rPr>
          <w:rFonts w:hint="eastAsia" w:ascii="仿宋" w:hAnsi="仿宋" w:eastAsia="仿宋" w:cs="Times New Roman"/>
          <w:color w:val="auto"/>
          <w:spacing w:val="0"/>
          <w:w w:val="100"/>
          <w:kern w:val="2"/>
          <w:sz w:val="32"/>
          <w:lang w:eastAsia="zh-CN"/>
        </w:rPr>
        <w:t>，并根据工作需要开展绩效评价</w:t>
      </w:r>
      <w:r>
        <w:rPr>
          <w:rFonts w:hint="eastAsia" w:ascii="仿宋" w:hAnsi="仿宋" w:eastAsia="仿宋" w:cs="Times New Roman"/>
          <w:color w:val="auto"/>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lang w:val="en-US" w:eastAsia="zh-CN"/>
        </w:rPr>
      </w:pPr>
      <w:r>
        <w:rPr>
          <w:rFonts w:hint="eastAsia" w:ascii="仿宋" w:hAnsi="仿宋" w:eastAsia="仿宋" w:cs="Times New Roman"/>
          <w:b/>
          <w:bCs/>
          <w:color w:val="auto"/>
          <w:spacing w:val="0"/>
          <w:w w:val="100"/>
          <w:kern w:val="2"/>
          <w:sz w:val="32"/>
          <w:lang w:eastAsia="zh-CN"/>
        </w:rPr>
        <w:t>第二十八条</w:t>
      </w:r>
      <w:r>
        <w:rPr>
          <w:rFonts w:hint="eastAsia" w:ascii="仿宋" w:hAnsi="仿宋" w:eastAsia="仿宋" w:cs="Times New Roman"/>
          <w:b/>
          <w:bCs/>
          <w:color w:val="auto"/>
          <w:spacing w:val="0"/>
          <w:w w:val="100"/>
          <w:kern w:val="2"/>
          <w:sz w:val="32"/>
          <w:lang w:val="en-US" w:eastAsia="zh-CN"/>
        </w:rPr>
        <w:t xml:space="preserve"> </w:t>
      </w:r>
      <w:r>
        <w:rPr>
          <w:rFonts w:hint="eastAsia" w:cs="仿宋_GB2312"/>
          <w:spacing w:val="-2"/>
          <w:w w:val="100"/>
          <w:kern w:val="21"/>
          <w:sz w:val="32"/>
          <w:lang w:val="en-US" w:eastAsia="zh-CN"/>
        </w:rPr>
        <w:t xml:space="preserve"> </w:t>
      </w:r>
      <w:r>
        <w:rPr>
          <w:rFonts w:hint="eastAsia" w:ascii="仿宋" w:hAnsi="仿宋" w:eastAsia="仿宋" w:cs="Times New Roman"/>
          <w:color w:val="auto"/>
          <w:spacing w:val="0"/>
          <w:w w:val="100"/>
          <w:kern w:val="2"/>
          <w:sz w:val="32"/>
          <w:lang w:val="en-US" w:eastAsia="zh-CN"/>
        </w:rPr>
        <w:t>省社科规划办</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规定对</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责任单位项目</w:t>
      </w:r>
      <w:r>
        <w:rPr>
          <w:rFonts w:hint="eastAsia" w:ascii="仿宋" w:hAnsi="仿宋" w:eastAsia="仿宋" w:cs="Times New Roman"/>
          <w:color w:val="auto"/>
          <w:spacing w:val="0"/>
          <w:w w:val="100"/>
          <w:kern w:val="2"/>
          <w:sz w:val="32"/>
          <w:lang w:eastAsia="zh-CN"/>
        </w:rPr>
        <w:t>经费</w:t>
      </w:r>
      <w:r>
        <w:rPr>
          <w:rFonts w:hint="eastAsia" w:ascii="仿宋" w:hAnsi="仿宋" w:eastAsia="仿宋" w:cs="Times New Roman"/>
          <w:color w:val="auto"/>
          <w:spacing w:val="0"/>
          <w:w w:val="100"/>
          <w:kern w:val="2"/>
          <w:sz w:val="32"/>
        </w:rPr>
        <w:t>管理和使用情况进行监督检查。</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责任单位和项目负责人应当积极配合并提供有关资料。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 xml:space="preserve">第二十九条 </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sz w:val="32"/>
          <w:lang w:eastAsia="zh-CN"/>
        </w:rPr>
        <w:t>省财政厅、省社科规划办</w:t>
      </w:r>
      <w:r>
        <w:rPr>
          <w:rFonts w:hint="eastAsia" w:ascii="仿宋" w:hAnsi="仿宋" w:eastAsia="仿宋" w:cs="Times New Roman"/>
          <w:color w:val="auto"/>
          <w:spacing w:val="0"/>
          <w:sz w:val="32"/>
        </w:rPr>
        <w:t>及其相关工作人员在项目</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分配使用、审核管理等相关工作中，存在违反规定安排</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或其他滥用职权、玩忽职守、徇私舞弊等违法违规行为的，依法责令改正，对负有责任的领导人员和直接责任人员依法给予处分；涉嫌犯罪的，依法移送有关机关处理。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rPr>
      </w:pP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责任单位及其相关工作人员、项目负责人及其团队成员在</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管理使用过程中，不</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规定管理使用项目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、不按时编报项目决算、不</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规定进行会计核算，存在截留、挪用、侵占项目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等违法违规行为的，按照《中华人民共和国预算法》及其实施条例、《中华人民共和国会计法》、《财政违法行为处罚处分条例》等国家有关规定追究相应责任。涉嫌犯罪的，依法移送有关机关处理。</w:t>
      </w:r>
    </w:p>
    <w:p>
      <w:pPr>
        <w:adjustRightInd w:val="0"/>
        <w:snapToGrid w:val="0"/>
        <w:spacing w:line="600" w:lineRule="exact"/>
        <w:ind w:firstLine="642"/>
        <w:rPr>
          <w:rFonts w:hint="eastAsia" w:ascii="仿宋" w:hAnsi="仿宋" w:eastAsia="仿宋" w:cs="Times New Roman"/>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pacing w:val="0"/>
          <w:sz w:val="32"/>
          <w:lang w:eastAsia="zh-CN"/>
        </w:rPr>
        <w:t>第三十条</w:t>
      </w:r>
      <w:r>
        <w:rPr>
          <w:rFonts w:hint="eastAsia" w:ascii="仿宋" w:hAnsi="仿宋" w:eastAsia="仿宋" w:cs="Times New Roman"/>
          <w:b/>
          <w:bCs/>
          <w:color w:val="auto"/>
          <w:sz w:val="32"/>
          <w:szCs w:val="32"/>
          <w:lang w:val="en-US" w:eastAsia="zh-CN"/>
        </w:rPr>
        <w:t xml:space="preserve">  </w:t>
      </w:r>
      <w:r>
        <w:rPr>
          <w:rFonts w:hint="eastAsia" w:ascii="仿宋" w:hAnsi="仿宋" w:eastAsia="仿宋" w:cs="Times New Roman"/>
          <w:color w:val="auto"/>
          <w:sz w:val="32"/>
          <w:szCs w:val="32"/>
          <w:lang w:val="en-US" w:eastAsia="zh-CN"/>
        </w:rPr>
        <w:t>本办法适用于省社科基金各类项目经费，省社科基金其他资助项目经费，未制定有关办法的，适用本办法。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第三十一条</w:t>
      </w:r>
      <w:r>
        <w:rPr>
          <w:rFonts w:hint="eastAsia" w:ascii="仿宋" w:hAnsi="仿宋" w:eastAsia="仿宋" w:cs="Times New Roman"/>
          <w:color w:val="auto"/>
          <w:sz w:val="32"/>
          <w:szCs w:val="32"/>
          <w:lang w:val="en-US" w:eastAsia="zh-CN"/>
        </w:rPr>
        <w:t xml:space="preserve">  本办法由福建省财政厅会同福建省哲学社会科学规划领导小组负责解释。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第三十二条</w:t>
      </w:r>
      <w:r>
        <w:rPr>
          <w:rFonts w:hint="eastAsia" w:ascii="仿宋" w:hAnsi="仿宋" w:eastAsia="仿宋" w:cs="Times New Roman"/>
          <w:color w:val="auto"/>
          <w:sz w:val="32"/>
          <w:szCs w:val="32"/>
          <w:lang w:val="en-US" w:eastAsia="zh-CN"/>
        </w:rPr>
        <w:t xml:space="preserve">  本办法自印发之日起施行，有效期三年。2017年5月23日省财政厅、省哲学社会科学规划领导小组印发的《福建省社会科学研究项目经费管理办法》（闽财教〔2017〕32号）同时废止。</w:t>
      </w:r>
    </w:p>
    <w:p>
      <w:pPr>
        <w:adjustRightInd w:val="0"/>
        <w:snapToGrid w:val="0"/>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drawing>
          <wp:anchor distT="0" distB="0" distL="114300" distR="114300" simplePos="0" relativeHeight="251660288" behindDoc="0" locked="0" layoutInCell="1" allowOverlap="1">
            <wp:simplePos x="0" y="0"/>
            <wp:positionH relativeFrom="page">
              <wp:posOffset>4598670</wp:posOffset>
            </wp:positionH>
            <wp:positionV relativeFrom="page">
              <wp:posOffset>9622790</wp:posOffset>
            </wp:positionV>
            <wp:extent cx="1778000" cy="711200"/>
            <wp:effectExtent l="0" t="0" r="12700" b="12700"/>
            <wp:wrapNone/>
            <wp:docPr id="2" name="barcode" descr="9011001210005328"/>
            <wp:cNvGraphicFramePr/>
            <a:graphic xmlns:a="http://schemas.openxmlformats.org/drawingml/2006/main">
              <a:graphicData uri="http://schemas.openxmlformats.org/drawingml/2006/picture">
                <pic:pic xmlns:pic="http://schemas.openxmlformats.org/drawingml/2006/picture">
                  <pic:nvPicPr>
                    <pic:cNvPr id="2" name="barcode" descr="9011001210005328"/>
                    <pic:cNvPicPr/>
                  </pic:nvPicPr>
                  <pic:blipFill>
                    <a:blip r:embed="rId8"/>
                    <a:stretch>
                      <a:fillRect/>
                    </a:stretch>
                  </pic:blipFill>
                  <pic:spPr>
                    <a:xfrm>
                      <a:off x="0" y="0"/>
                      <a:ext cx="1778000" cy="711200"/>
                    </a:xfrm>
                    <a:prstGeom prst="rect">
                      <a:avLst/>
                    </a:prstGeom>
                  </pic:spPr>
                </pic:pic>
              </a:graphicData>
            </a:graphic>
          </wp:anchor>
        </w:drawing>
      </w:r>
      <w:bookmarkStart w:id="16" w:name="_GoBack"/>
      <w:bookmarkEnd w:id="16"/>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tbl>
      <w:tblPr>
        <w:tblStyle w:val="6"/>
        <w:tblpPr w:leftFromText="180" w:rightFromText="180" w:vertAnchor="page" w:horzAnchor="page" w:tblpX="1596" w:tblpY="13372"/>
        <w:tblOverlap w:val="never"/>
        <w:tblW w:w="5000" w:type="pct"/>
        <w:tblInd w:w="0" w:type="dxa"/>
        <w:tblLayout w:type="autofit"/>
        <w:tblCellMar>
          <w:top w:w="0" w:type="dxa"/>
          <w:left w:w="28" w:type="dxa"/>
          <w:bottom w:w="0" w:type="dxa"/>
          <w:right w:w="28" w:type="dxa"/>
        </w:tblCellMar>
      </w:tblPr>
      <w:tblGrid>
        <w:gridCol w:w="4449"/>
        <w:gridCol w:w="4452"/>
      </w:tblGrid>
      <w:tr>
        <w:tblPrEx>
          <w:tblCellMar>
            <w:top w:w="0" w:type="dxa"/>
            <w:left w:w="28" w:type="dxa"/>
            <w:bottom w:w="0" w:type="dxa"/>
            <w:right w:w="28" w:type="dxa"/>
          </w:tblCellMar>
        </w:tblPrEx>
        <w:trPr>
          <w:trHeight w:val="567" w:hRule="atLeast"/>
        </w:trPr>
        <w:tc>
          <w:tcPr>
            <w:tcW w:w="5000" w:type="pct"/>
            <w:gridSpan w:val="2"/>
            <w:tcBorders>
              <w:top w:val="nil"/>
              <w:left w:val="nil"/>
              <w:bottom w:val="single" w:color="auto" w:sz="12" w:space="0"/>
              <w:right w:val="nil"/>
            </w:tcBorders>
            <w:noWrap w:val="0"/>
            <w:vAlign w:val="bottom"/>
          </w:tcPr>
          <w:p>
            <w:pPr>
              <w:spacing w:after="100" w:afterAutospacing="1" w:line="600" w:lineRule="exact"/>
              <w:ind w:right="208" w:rightChars="65" w:firstLine="280" w:firstLineChars="100"/>
              <w:textAlignment w:val="bottom"/>
              <w:rPr>
                <w:rFonts w:hint="eastAsia" w:ascii="仿宋" w:hAnsi="仿宋" w:eastAsia="仿宋" w:cs="仿宋_GB2312"/>
                <w:color w:val="000000"/>
                <w:sz w:val="28"/>
                <w:szCs w:val="28"/>
                <w:lang w:eastAsia="zh-CN"/>
              </w:rPr>
            </w:pPr>
            <w:r>
              <w:rPr>
                <w:rFonts w:hint="eastAsia" w:ascii="仿宋" w:hAnsi="仿宋" w:eastAsia="仿宋" w:cs="仿宋_GB2312"/>
                <w:color w:val="000000"/>
                <w:sz w:val="28"/>
                <w:szCs w:val="28"/>
              </w:rPr>
              <w:t>信息公开类型：</w:t>
            </w:r>
            <w:bookmarkStart w:id="14" w:name="PO_fgklx"/>
            <w:r>
              <w:rPr>
                <w:rFonts w:hint="eastAsia" w:ascii="仿宋" w:hAnsi="仿宋" w:eastAsia="仿宋" w:cs="仿宋_GB2312"/>
                <w:color w:val="000000"/>
                <w:sz w:val="28"/>
                <w:szCs w:val="28"/>
                <w:lang w:eastAsia="zh-CN"/>
              </w:rPr>
              <w:t>主动公开</w:t>
            </w:r>
            <w:bookmarkEnd w:id="14"/>
          </w:p>
        </w:tc>
      </w:tr>
      <w:tr>
        <w:tblPrEx>
          <w:tblCellMar>
            <w:top w:w="0" w:type="dxa"/>
            <w:left w:w="28" w:type="dxa"/>
            <w:bottom w:w="0" w:type="dxa"/>
            <w:right w:w="28" w:type="dxa"/>
          </w:tblCellMar>
        </w:tblPrEx>
        <w:trPr>
          <w:trHeight w:val="567" w:hRule="atLeast"/>
        </w:trPr>
        <w:tc>
          <w:tcPr>
            <w:tcW w:w="2499" w:type="pct"/>
            <w:tcBorders>
              <w:top w:val="nil"/>
              <w:left w:val="nil"/>
              <w:bottom w:val="single" w:color="auto" w:sz="12" w:space="0"/>
              <w:right w:val="nil"/>
            </w:tcBorders>
            <w:noWrap w:val="0"/>
            <w:vAlign w:val="bottom"/>
          </w:tcPr>
          <w:p>
            <w:pPr>
              <w:spacing w:after="100" w:line="600" w:lineRule="exact"/>
              <w:ind w:right="208" w:rightChars="65" w:firstLine="280" w:firstLineChars="100"/>
              <w:rPr>
                <w:rFonts w:ascii="仿宋" w:hAnsi="仿宋" w:eastAsia="仿宋"/>
                <w:color w:val="000000"/>
                <w:sz w:val="28"/>
                <w:szCs w:val="32"/>
              </w:rPr>
            </w:pPr>
            <w:r>
              <w:rPr>
                <w:rFonts w:hint="eastAsia" w:ascii="仿宋" w:hAnsi="仿宋" w:eastAsia="仿宋" w:cs="仿宋_GB2312"/>
                <w:color w:val="000000"/>
                <w:sz w:val="28"/>
                <w:szCs w:val="32"/>
              </w:rPr>
              <w:t>福建省财政厅办公室</w:t>
            </w:r>
          </w:p>
        </w:tc>
        <w:tc>
          <w:tcPr>
            <w:tcW w:w="2500" w:type="pct"/>
            <w:tcBorders>
              <w:top w:val="nil"/>
              <w:left w:val="nil"/>
              <w:bottom w:val="single" w:color="auto" w:sz="12" w:space="0"/>
              <w:right w:val="nil"/>
            </w:tcBorders>
            <w:noWrap w:val="0"/>
            <w:vAlign w:val="center"/>
          </w:tcPr>
          <w:p>
            <w:pPr>
              <w:wordWrap w:val="0"/>
              <w:spacing w:after="100" w:afterAutospacing="1" w:line="600" w:lineRule="exact"/>
              <w:ind w:right="208" w:rightChars="65" w:firstLine="840" w:firstLineChars="300"/>
              <w:jc w:val="right"/>
              <w:textAlignment w:val="bottom"/>
              <w:rPr>
                <w:rFonts w:ascii="仿宋_GB2312" w:eastAsia="仿宋_GB2312"/>
                <w:color w:val="000000"/>
                <w:sz w:val="32"/>
                <w:szCs w:val="32"/>
              </w:rPr>
            </w:pPr>
            <w:bookmarkStart w:id="15" w:name="PO_fyfrq"/>
            <w:r>
              <w:rPr>
                <w:rFonts w:hint="eastAsia" w:ascii="仿宋" w:hAnsi="仿宋" w:eastAsia="仿宋" w:cs="仿宋_GB2312"/>
                <w:color w:val="000000"/>
                <w:sz w:val="28"/>
                <w:szCs w:val="32"/>
                <w:lang w:eastAsia="zh-CN"/>
              </w:rPr>
              <w:t>2021年12月</w:t>
            </w:r>
            <w:r>
              <w:rPr>
                <w:rFonts w:hint="eastAsia" w:ascii="仿宋" w:hAnsi="仿宋" w:eastAsia="仿宋" w:cs="仿宋_GB2312"/>
                <w:color w:val="000000"/>
                <w:sz w:val="28"/>
                <w:szCs w:val="32"/>
                <w:lang w:val="en-US" w:eastAsia="zh-CN"/>
              </w:rPr>
              <w:t>17</w:t>
            </w:r>
            <w:r>
              <w:rPr>
                <w:rFonts w:hint="eastAsia" w:ascii="仿宋" w:hAnsi="仿宋" w:eastAsia="仿宋" w:cs="仿宋_GB2312"/>
                <w:color w:val="000000"/>
                <w:sz w:val="28"/>
                <w:szCs w:val="32"/>
                <w:lang w:eastAsia="zh-CN"/>
              </w:rPr>
              <w:t>日</w:t>
            </w:r>
            <w:bookmarkEnd w:id="15"/>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pPr>
        <w:pStyle w:val="2"/>
        <w:spacing w:line="600" w:lineRule="exact"/>
        <w:rPr>
          <w:rFonts w:hint="eastAsia" w:ascii="仿宋" w:hAnsi="仿宋" w:eastAsia="仿宋" w:cs="仿宋"/>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253FA"/>
    <w:rsid w:val="00072E52"/>
    <w:rsid w:val="000B3399"/>
    <w:rsid w:val="000E291E"/>
    <w:rsid w:val="000E6968"/>
    <w:rsid w:val="00116C7A"/>
    <w:rsid w:val="00145C75"/>
    <w:rsid w:val="001538F6"/>
    <w:rsid w:val="001745DC"/>
    <w:rsid w:val="001851DD"/>
    <w:rsid w:val="001865AB"/>
    <w:rsid w:val="00195B6A"/>
    <w:rsid w:val="001B667D"/>
    <w:rsid w:val="002269D4"/>
    <w:rsid w:val="00231764"/>
    <w:rsid w:val="00245BD9"/>
    <w:rsid w:val="00253BD6"/>
    <w:rsid w:val="00283713"/>
    <w:rsid w:val="002C0472"/>
    <w:rsid w:val="002D060D"/>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911D6"/>
    <w:rsid w:val="005978EB"/>
    <w:rsid w:val="005D42F2"/>
    <w:rsid w:val="005D5EA3"/>
    <w:rsid w:val="005E7243"/>
    <w:rsid w:val="005E7BDD"/>
    <w:rsid w:val="006614BA"/>
    <w:rsid w:val="0066178F"/>
    <w:rsid w:val="00691574"/>
    <w:rsid w:val="00692022"/>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841E3"/>
    <w:rsid w:val="00DA3F99"/>
    <w:rsid w:val="00DC0D99"/>
    <w:rsid w:val="00DE1F26"/>
    <w:rsid w:val="00DE3ED6"/>
    <w:rsid w:val="00DF3572"/>
    <w:rsid w:val="00E06983"/>
    <w:rsid w:val="00E32094"/>
    <w:rsid w:val="00E503FB"/>
    <w:rsid w:val="00F4723B"/>
    <w:rsid w:val="00F954E9"/>
    <w:rsid w:val="00FC58D3"/>
    <w:rsid w:val="03352888"/>
    <w:rsid w:val="0F0B6913"/>
    <w:rsid w:val="216915F0"/>
    <w:rsid w:val="32507A8A"/>
    <w:rsid w:val="3C732D21"/>
    <w:rsid w:val="4103650A"/>
    <w:rsid w:val="4AB32DE6"/>
    <w:rsid w:val="4BD227FC"/>
    <w:rsid w:val="570E6174"/>
    <w:rsid w:val="5A815D32"/>
    <w:rsid w:val="5DF5346E"/>
    <w:rsid w:val="6BDFD83A"/>
    <w:rsid w:val="76FFAB4D"/>
    <w:rsid w:val="7EEBC2B1"/>
    <w:rsid w:val="7EFF6425"/>
    <w:rsid w:val="7F3735A7"/>
    <w:rsid w:val="8E3D0D14"/>
    <w:rsid w:val="BF77F222"/>
    <w:rsid w:val="DEBFB81C"/>
    <w:rsid w:val="DF3B0F44"/>
    <w:rsid w:val="EF4BED2C"/>
    <w:rsid w:val="F2399AC4"/>
    <w:rsid w:val="F77FA2B6"/>
    <w:rsid w:val="FDFE8642"/>
    <w:rsid w:val="FF7406BB"/>
    <w:rsid w:val="FFC9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paragraph" w:customStyle="1" w:styleId="10">
    <w:name w:val="正文 + 仿宋_GB2312"/>
    <w:basedOn w:val="1"/>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5241</Words>
  <Characters>5309</Characters>
  <Lines>1</Lines>
  <Paragraphs>1</Paragraphs>
  <TotalTime>1</TotalTime>
  <ScaleCrop>false</ScaleCrop>
  <LinksUpToDate>false</LinksUpToDate>
  <CharactersWithSpaces>5406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2019-12-25T04:26:00Z</dcterms:created>
  <dc:creator>duan z</dc:creator>
  <cp:lastModifiedBy>叶倩倩</cp:lastModifiedBy>
  <dcterms:modified xsi:type="dcterms:W3CDTF">2021-12-20T17:36:26Z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