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Cs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宋体" w:hAnsi="宋体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学科分类与代码</w:t>
      </w:r>
    </w:p>
    <w:bookmarkEnd w:id="0"/>
    <w:tbl>
      <w:tblPr>
        <w:tblStyle w:val="7"/>
        <w:tblW w:w="8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11"/>
        <w:gridCol w:w="167"/>
        <w:gridCol w:w="4086"/>
        <w:gridCol w:w="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465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7"/>
              </w:rPr>
              <w:t>学科分类与代码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7"/>
              </w:rPr>
              <w:t>学科分类与代码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182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110.11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数学史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110.14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数理逻辑与数学基础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110.17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110.21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代数学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110.24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代数几何学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110.27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几何学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110.31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拓扑学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110.34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110.37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非标准分析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110.41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函数论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110.44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常微分方程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110.47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偏微分方程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110.51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动力系统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110.54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积分方程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110.57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泛函分析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110.61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计算数学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110.64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概率论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110.67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数理统计学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110.71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应用统计数学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110.74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运筹学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110.77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组合数学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110.81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离散数学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110.84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模糊数学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110.87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应用数学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110.99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数学其他学科</w:t>
            </w:r>
          </w:p>
          <w:p>
            <w:pPr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信息科学与系统科学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信息科学与系统科学基础学科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控制理论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系统评估与可行性分析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系统工程方法论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120.60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120.99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信息科学与系统科学其他学科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kern w:val="2"/>
                <w:sz w:val="21"/>
                <w:szCs w:val="27"/>
              </w:rPr>
            </w:pP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 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130.10 基础力学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130.15 固体力学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130.20 振动与波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130.25 流体力学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130.30 流变学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130.35 爆炸力学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130.40 物理力学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130.45 统计力学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130.50 应用力学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130.99 力学其他学科 </w:t>
            </w:r>
          </w:p>
          <w:p>
            <w:pPr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物理学史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140.15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理论物理学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140.25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热学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光学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140.35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电磁学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无线电物理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140.45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电子物理学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凝聚态物理学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140.55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等离子体物理学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140.60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原子分子物理学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140.65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原子核物理学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140.70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高能物理学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140.75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计算物理学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140.80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应用物理学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140.99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物理学其他学科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377" w:hRule="atLeast"/>
          <w:jc w:val="center"/>
        </w:trPr>
        <w:tc>
          <w:tcPr>
            <w:tcW w:w="4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 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150.10 化学史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150.15 无机化学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150.20 有机化学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150.25 分析化学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150.30 物理化学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150.35 化学物理学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150.40 高分子物理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150.45 高分子化学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150.50 核化学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150.55 应用化学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150.99 化学其他学科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 天文学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160.10 天文学史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160.15 天体力学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160.20 天体物理学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160.25 天体化学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160.30 天体测量学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160.35 射电天文学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160.40 空间天文学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160.45 天体演化学(各层次天体形成与演化入  各学科)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160.50 星系与宇宙学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160.55 恒星与银河系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160.60 太阳与太阳系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160.65 天体生物学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160.99 天文学其他学科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 地球科学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170.10 地球科学史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170.15 大气科学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170.20 固体地球物理学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170.25 空间物理学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170.30 地球化学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170.35 大地测量学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170.40 地图学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170.45 地理学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170.50 地质学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170.55 水文学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170.60 海洋科学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170.6010 海洋物理学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170.99 地球科学其他学科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 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180.11 生物数学(包括生物统计学等)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180.14 生物物理学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180.17 生物化学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180.21 细胞生物学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180.24 生理学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180.27 发育生物学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180.31 遗传学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180.34 放射生物学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180.37 分子生物学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180.41 生物进化论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180.44 生态学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180.47 神经生物学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180.51 植物学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180.54 昆虫学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180.57 动物学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180.61 微生物学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180.64 病毒学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180.67 人类学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180.71 生物工程(亦称生物技术)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180.74 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180.99 生物学其他学科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 农学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210.10 农业史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210.20 农业基础学科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210.30 农艺学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210.40 园艺学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210.50 土壤学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210.60 植物保护学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210.70 农业工程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210.99 农学其他学科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 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220.10 林业基础学科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220.15 林木遗传育种学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220.20 森林培育学(亦称造林学)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220.25 森林经理学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220.30 森林保护学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220.35 野生动物保护与管理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220.40 防护林学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220.45 经济林学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3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220.50 园林学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220.55 林业工程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220.60 森林统计学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220.65 林业经济学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220.99 林学其他学科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 畜牧、兽医科学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230.10 畜牧、兽医科学基础学科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230.20 畜牧学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230.30 兽医学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230.99 畜牧、兽医科学其他学科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 水产学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240.10 水产学基础学科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240.15 水产增殖学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240.20 水产养殖学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240.25 水产饲料学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240.30 水产保护学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240.35 捕捞学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240.40 水产品贮藏与加工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240.45 水产工程学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240.50 水产资源学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240.55 水产经济学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240.99 水产学其他学科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 基础医学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310.11 医学生物化学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310.14 人体解剖学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310.17 医学细胞生物学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310.21 人体生理学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310.24 人体组织胚胎学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310.27 医学遗传学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310.31 放射医学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310.34 人体免疫学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310.37 医学寄生虫学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310.41 医学微生物学(包括医学病毒学等)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310.44 病理学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310.47 药理学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310.51 医学实验动物学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310.54 医学心理学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310.57 医学统计学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310.61 生物医学工程学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310.99 基础医学其他学科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 临床医学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320.11 临床诊断学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320.14 保健医学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320.17 理疗学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320.21 麻醉学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320.24 内科学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320.27 外科学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320.31 妇产科学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320.34 儿科学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320.37 眼科学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320.41 耳鼻咽喉科学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320.44 口腔医学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320.47 皮肤病学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320.51 性医学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320.54 神经病学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320.57 精神病学(包括精神卫生及行为医学等)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320.61 急诊医学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320.64 核医学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320.67 肿瘤学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320.71 护理学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320.99 临床医学其他学科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 预防医学与卫生学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330.11 营养学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330.14 毒理学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330.17 消毒学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330.21 流行病学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330.24 传染病学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330.27 媒介生物控制学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330.31 环境医学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330.34 职业病学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330.37 地方病学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330.41 社会医学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330.44 卫生检验学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330.47 食品卫生学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330.51 儿少卫生学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330.54 妇幼卫生学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330.57 环境卫生学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330.61 劳动卫生学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330.64 放射卫生学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330.67 卫生工程学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330.71 卫生经济学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221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6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330.74 优生学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330.77 健康教育学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330.81 卫生管理学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330.99 预防医学与卫生学其他学科 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340 军事医学与特种医学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340.10 军事医学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340.20 特种医学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340.99 军事医学与特种医学其他学科 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 药学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350.10 药物化学(包括天然药物化学等)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350.20 生物药物学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350.25 微生物药物学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350.30 放射性药物学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350.35 药剂学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350.40 药效学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350.45 药物管理学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350.50 药物统计学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350.99 药学其他学科 </w:t>
            </w:r>
          </w:p>
          <w:p>
            <w:pPr>
              <w:pStyle w:val="6"/>
              <w:spacing w:line="30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 中医学与中药学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360.10 中医学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360.20 民族医学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360.30 中西医结合医学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360.40 中药学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360.99 中医学与中药学其他学科 </w:t>
            </w:r>
          </w:p>
          <w:p>
            <w:pPr>
              <w:pStyle w:val="6"/>
              <w:spacing w:line="30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 工程与技术科学基础学科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410.10 工程数学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410.15 工程控制论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410.20 工程力学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410.25 工程物理学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410.30 工程地质学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410.35 工程水文学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410.40 工程仿生学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410.45 工程心理学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410.50 标准化科学技术(亦称标准化学)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410.55 计量学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410.60 工程图学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410.65 勘查技术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410.70 工程通用技术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410.75 工业工程学(亦称工程系统工程)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410.99 工程与技术科学基础学科其他学科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 测绘科学技术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420.10 大地测量技术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420.20 摄影测量与遥感技术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420.30 地图制图技术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420.40 工程测量技术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420.50 海洋测绘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420.60 测绘仪器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420.99 测绘科学技术其他学科 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 材料科学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430.10 材料科学基础学科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430.15 材料表面与界面(包括表面优化技术)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430.20 材料失效与保护(包括材料腐蚀、磨损、老化、断裂及其控制等)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430.25 材料检测与分析技术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430.30 材料实验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430.35 材料合成与加工工艺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430.40 金属材料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430.45 无机非金属材料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430.50 有机高分子材料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430.99 材料科学其他学科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 矿山工程技术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440.10 矿山地质学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440.15 矿山测量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440.20 矿山设计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440.25 矿山地面工程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440.30 井巷工程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440.35 采矿工程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440.40 选矿工程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440.45 钻井工程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440.50 油气田井开发工程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440.55 石油、天然气储存与运输工程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440.60 矿山机械工程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440.65 矿山电气工程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440.70 采矿环境工程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440.75 矿山安全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440.80 矿山综合利用工程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440.99 矿山工程技术其他学科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3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 冶金工程技术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450.10 冶金物理化学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450.15 冶金反应工程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450.20 冶金原料与预处理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450.25 冶金热能工程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450.30 冶金技术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450.35 钢铁冶金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450.40 有色金属冶金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450.45 轧制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450.50 冶金机械及自动化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450.99 冶金工程技术其他学科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 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460.10 机械史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460.15 机械学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460.20 机械设计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460.25 机械制造工艺与设备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460.30 刀具技术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460.35 机床技术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460.40 仪器仪表技术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460.45 流体传动与控制(包括气动液压控制技术等)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460.50 机械制造自动化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460.55 专用机械工程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460.99 机械工程其他学科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 动力与电气工程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470.10 工程热物理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470.20 热工学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470.30 动力机械工程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470.40 电气工程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470.99 动力与电气工程其他学科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 能源科学技术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480.10 能源化学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480.20 能源地理学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480.30 能源计算与测量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480.40 储能技术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480.50 节能技术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480.60 一次能源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480.70 二次能源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480.80 能源系统工程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480.99 能源科学技术其他学科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 核科学技术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490.10 辐射物理与技术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490.15 核探测技术与核电子学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490.20 放射性计量学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490.25 核仪器、仪表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490.30 核材料与工艺技术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490.35 粒子加速器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490.40 裂变堆工程技术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490.45 核聚变工程技术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490.50 核动力工程技术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490.55 同位素技术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490.60 核爆炸工程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490.65 核安全(包括核电站安全)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490.70 乏燃料后处理技术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490.75 辐射防护技术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490.80 核设施退役技术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490.85 放射性三废处理、处置技术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490.99 核科学技术其他学科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 电子、通信与自动控制技术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510.10 电子技术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510.20 光电子学与激光技术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510.30 半导体技术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510.40 信息处理技术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 通信技术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510.5030 通信网络技术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510.5035 通信终端技术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510.5040 电信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510.5045 邮政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510.5050 邮电通信管理工程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510.5099 通信技术其他学科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510.60 广播与电视工程技术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510.70 雷达工程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510.80 自动控制技术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510.99 电子、通信与自动控制技术其他学科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 计算机科学技术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520.10 计算机科学技术基础学科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520.20 人工智能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520.30 计算机系统结构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520.40 计算机软件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533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520.50 计算机工程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520.60 计算机应用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520.6010 中国语言文字信息处理(包括汉字信息处理)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520.99 计算机科学技术其他学科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 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530.11 化学工程基础学科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530.14 化工测量技术与仪器仪表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530.17 化工传递过程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530.21 化学分离工程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530.24 化学反应工程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530.27 化工系统工程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530.31 化工机械与设备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530.34 无机化学工程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530.37 有机化学工程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530.41 电化学工程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530.44 高聚物工程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530.47 煤化学工程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530.51 石油化学工程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530.54 精细化学工程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530.57 造纸技术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530.61 毛皮与制革工程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530.64 制药工程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530.67 生物化学工程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530.99 化学工程其他学科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 纺织科学技术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540.10 纺织科学技术基础学科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540.20 纺织材料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540.30 纤维制造技术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540.40 纺织技术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540.50 染整技术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540.60 服装技术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540.70 纺织机械与设备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540.99 纺织科学技术其他学科 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食品科学技术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食品科学技术基础学科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食品加工技术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食品包装与储藏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食品机械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食品加工的副产品加工与利用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550.60 食品工业企业管理学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550.99 食品科学技术其他学科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 土木建筑工程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560.10 建筑史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560.15 土木建筑工程基础学科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560.20 土木建筑工程测量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560.25 建筑材料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560.30 工程结构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560.35 土木建筑结构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560.40 土木建筑工程设计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560.45 土木建筑工程施工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560.50 土木工程机械与设备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560.55 市政工程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560.60 建筑经济学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560.99 土木建筑工程其他学科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 水利工程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570.10 水利工程基础学科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570.15 水利工程测量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570.20 水工材料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570.25 水工结构(亦称水工建筑物)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570.30 水力机械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570.35 水利工程施工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570.40 水处理(不包括废水处理)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570.45 河流泥沙工程学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570.50 海洋工程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570.55 环境水利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570.60 水利管理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570.65 防洪工程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570.70 水利经济学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570.99 水利工程其他学科 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交通运输工程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道路工程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公路运输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铁路运输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水路运输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船舶、舰船工程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580.60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航空运输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580.70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交通运输系统工程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7" w:hRule="atLeast"/>
          <w:jc w:val="center"/>
        </w:trPr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580.80 交通运输安全工程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580.99 交通运输工程其他学科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 航空、航天科学技术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590.10 航空、航天科学技术基础学科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590.15 航空器结构与设计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590.20 航天器结构与设计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590.25 航空、航天推进系统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590.30 飞行器仪表、设备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590.35 飞行器控制、导航技术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590.40 航空、航天材料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590.45 飞行器制造技术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590.50 飞行器试验技术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590.55 飞行器发射、飞行技术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590.60 航天地面设施、技术保障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590.65 航空、航天系统工程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590.99 航空、航天科学技术其他学科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 环境科学技术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610.10 环境科学技术基础学科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610.20 环境学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610.30 环境工程学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610.99 环境科学技术其他学科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 安全科学技术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620.10 安全科学技术基础学科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620.20 安全学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620.30 安全工程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620.40 职业卫生工程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620.50 安全管理工程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620.99 安全科学技术其他学科 </w:t>
            </w:r>
          </w:p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 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630.10 管理思想史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630.15 管理理论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630.20 管理心理学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630.25 管理计量学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630.30 部门经济管理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630.35 科学学与科技管理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630.40 企业管理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630.45 行政管理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630.50 管理工程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630.55 人力资源开发与管理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630.60 未来学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630.99 管理学其他学科 </w:t>
            </w:r>
          </w:p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 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790.11 政治经济学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790.13 宏观经济学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790.15 微观经济学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790.17 比较经济学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790.19 经济地理学(包括工业地理学、农业地理学等)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790.21 发展经济学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790.23 生产力经济学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790.25 经济思想史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790.27 经济史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790.29 世界经济学(亦称国际经济学)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790.31 国民经济学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790.33 管理经济学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790.35 数量经济学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790.37 会计学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790.39 审计学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 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790.4110 工程经济学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790.4115 工业技术经济学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790.4120 农业技术经济学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790.4125 能源技术经济学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790.4130 交通运输技术经济学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790.4135 建筑技术经济学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790.4140 商业与物流技术经济学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790.4145 技术进步经济学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790.4150 资源开发利用技术经济学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790.4155 环境保护技术经济学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790.4160 生产力布局技术经济学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790.4165 消费技术经济学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790.4199 技术经济学其他学科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790.43 生态经济学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790.45 劳动经济学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790.47 城市经济学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790.49 资源经济学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790.51 环境经济学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790.53 物资经济学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790.55 工业经济学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790.57 农村经济学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790.59 农业经济学</w:t>
            </w:r>
          </w:p>
        </w:tc>
      </w:tr>
    </w:tbl>
    <w:p>
      <w:pPr>
        <w:pStyle w:val="6"/>
        <w:rPr>
          <w:b/>
          <w:bCs/>
          <w:color w:val="000000"/>
          <w:kern w:val="2"/>
          <w:sz w:val="21"/>
          <w:szCs w:val="18"/>
        </w:rPr>
      </w:pPr>
    </w:p>
    <w:tbl>
      <w:tblPr>
        <w:tblStyle w:val="7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790.61 交通运输经济学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790.63 商业经济学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790.65 价格学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790.67 旅游经济学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790.69 信息经济学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790.71 财政学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790.73 货币银行学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790.75 保险学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790.77 国防经济学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790.99 经济学其他学科 </w:t>
            </w:r>
          </w:p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 体育科学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890.10 体育史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890.15 体育理论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890.20 运动生物力学(包括运动解剖学等)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890.25 运动生理学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890.30 运动心理学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890.35 运动生物化学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890.40 体育保健学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890.45 运动训练学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890.50 体育教育学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890.55 武术理论与方法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890.60 体育管理学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890.65 体育经济学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890.99 体育科学其他学科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18"/>
              </w:rPr>
            </w:pPr>
          </w:p>
        </w:tc>
      </w:tr>
    </w:tbl>
    <w:p>
      <w:pPr>
        <w:spacing w:line="20" w:lineRule="exact"/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531" w:right="1588" w:bottom="1531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6542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20 -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8C"/>
    <w:rsid w:val="0003438E"/>
    <w:rsid w:val="001D02FA"/>
    <w:rsid w:val="002253AB"/>
    <w:rsid w:val="00585772"/>
    <w:rsid w:val="005945CA"/>
    <w:rsid w:val="00723D75"/>
    <w:rsid w:val="008B39A0"/>
    <w:rsid w:val="00951065"/>
    <w:rsid w:val="00974B4E"/>
    <w:rsid w:val="00993A6F"/>
    <w:rsid w:val="00A10592"/>
    <w:rsid w:val="00A9198C"/>
    <w:rsid w:val="00B34E4B"/>
    <w:rsid w:val="00B93981"/>
    <w:rsid w:val="00EF2759"/>
    <w:rsid w:val="00F649EF"/>
    <w:rsid w:val="034F3253"/>
    <w:rsid w:val="0A00234B"/>
    <w:rsid w:val="11280552"/>
    <w:rsid w:val="574C3304"/>
    <w:rsid w:val="5C6C29A1"/>
    <w:rsid w:val="5F0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纯文本 Char"/>
    <w:basedOn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纯文本 Char1"/>
    <w:basedOn w:val="9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145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闽科协发</Template>
  <Pages>20</Pages>
  <Words>2027</Words>
  <Characters>11558</Characters>
  <Lines>96</Lines>
  <Paragraphs>27</Paragraphs>
  <TotalTime>141</TotalTime>
  <ScaleCrop>false</ScaleCrop>
  <LinksUpToDate>false</LinksUpToDate>
  <CharactersWithSpaces>13558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2020-04-22T01:02:00Z</dcterms:created>
  <dc:creator>admin</dc:creator>
  <cp:lastModifiedBy>谷粒</cp:lastModifiedBy>
  <cp:lastPrinted>2020-05-11T08:51:00Z</cp:lastPrinted>
  <dcterms:modified xsi:type="dcterms:W3CDTF">2020-05-11T09:06:37Z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